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340F8" w14:textId="77777777" w:rsidR="009103D4" w:rsidRDefault="009103D4">
      <w:r>
        <w:rPr>
          <w:noProof/>
        </w:rPr>
        <w:drawing>
          <wp:anchor distT="0" distB="0" distL="114300" distR="114300" simplePos="0" relativeHeight="251667456" behindDoc="0" locked="0" layoutInCell="1" allowOverlap="1" wp14:anchorId="35D20831" wp14:editId="5591209C">
            <wp:simplePos x="0" y="0"/>
            <wp:positionH relativeFrom="page">
              <wp:align>right</wp:align>
            </wp:positionH>
            <wp:positionV relativeFrom="paragraph">
              <wp:posOffset>-1074420</wp:posOffset>
            </wp:positionV>
            <wp:extent cx="7772400" cy="1647825"/>
            <wp:effectExtent l="0" t="0" r="0" b="9525"/>
            <wp:wrapNone/>
            <wp:docPr id="5" name="Picture 5" descr="PLE lh advi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E lh advisory"/>
                    <pic:cNvPicPr>
                      <a:picLocks noChangeAspect="1" noChangeArrowheads="1"/>
                    </pic:cNvPicPr>
                  </pic:nvPicPr>
                  <pic:blipFill>
                    <a:blip r:embed="rId8" cstate="print"/>
                    <a:srcRect/>
                    <a:stretch>
                      <a:fillRect/>
                    </a:stretch>
                  </pic:blipFill>
                  <pic:spPr bwMode="auto">
                    <a:xfrm>
                      <a:off x="0" y="0"/>
                      <a:ext cx="7772400" cy="1647825"/>
                    </a:xfrm>
                    <a:prstGeom prst="rect">
                      <a:avLst/>
                    </a:prstGeom>
                    <a:noFill/>
                    <a:ln w="9525">
                      <a:noFill/>
                      <a:miter lim="800000"/>
                      <a:headEnd/>
                      <a:tailEnd/>
                    </a:ln>
                  </pic:spPr>
                </pic:pic>
              </a:graphicData>
            </a:graphic>
            <wp14:sizeRelV relativeFrom="margin">
              <wp14:pctHeight>0</wp14:pctHeight>
            </wp14:sizeRelV>
          </wp:anchor>
        </w:drawing>
      </w:r>
    </w:p>
    <w:p w14:paraId="76E06832" w14:textId="77777777" w:rsidR="009103D4" w:rsidRDefault="009103D4" w:rsidP="00494A2C">
      <w:pPr>
        <w:spacing w:line="240" w:lineRule="auto"/>
        <w:jc w:val="center"/>
        <w:rPr>
          <w:b/>
          <w:sz w:val="36"/>
        </w:rPr>
      </w:pPr>
    </w:p>
    <w:p w14:paraId="1A0A3AFB" w14:textId="1459C829" w:rsidR="009103D4" w:rsidRPr="00F01F91" w:rsidRDefault="0043417C" w:rsidP="00494A2C">
      <w:pPr>
        <w:spacing w:after="0" w:line="240" w:lineRule="auto"/>
        <w:jc w:val="right"/>
      </w:pPr>
      <w:r>
        <w:t>May</w:t>
      </w:r>
      <w:r w:rsidR="00F01F91" w:rsidRPr="00F01F91">
        <w:t xml:space="preserve"> 201</w:t>
      </w:r>
      <w:r>
        <w:t>9</w:t>
      </w:r>
    </w:p>
    <w:p w14:paraId="1585698E" w14:textId="77777777" w:rsidR="009103D4" w:rsidRDefault="009103D4" w:rsidP="00494A2C">
      <w:pPr>
        <w:spacing w:after="0" w:line="240" w:lineRule="auto"/>
        <w:jc w:val="center"/>
        <w:rPr>
          <w:b/>
          <w:sz w:val="56"/>
        </w:rPr>
      </w:pPr>
      <w:r w:rsidRPr="00F01F91">
        <w:rPr>
          <w:b/>
          <w:sz w:val="56"/>
        </w:rPr>
        <w:t>Changes to the Furlough Process for Professional Employees</w:t>
      </w:r>
    </w:p>
    <w:p w14:paraId="3A2F332B" w14:textId="77777777" w:rsidR="00494A2C" w:rsidRPr="00494A2C" w:rsidRDefault="00494A2C" w:rsidP="00494A2C">
      <w:pPr>
        <w:spacing w:after="0" w:line="240" w:lineRule="auto"/>
        <w:jc w:val="center"/>
        <w:rPr>
          <w:b/>
          <w:sz w:val="28"/>
        </w:rPr>
      </w:pPr>
    </w:p>
    <w:p w14:paraId="05C72305" w14:textId="77777777" w:rsidR="00D55BBB" w:rsidRDefault="00E27071" w:rsidP="00494A2C">
      <w:pPr>
        <w:spacing w:after="0" w:line="240" w:lineRule="auto"/>
      </w:pPr>
      <w:r w:rsidRPr="00F01F91">
        <w:t>O</w:t>
      </w:r>
      <w:r>
        <w:t>n Nov</w:t>
      </w:r>
      <w:r w:rsidR="00E11723">
        <w:t>.</w:t>
      </w:r>
      <w:r>
        <w:t xml:space="preserve"> </w:t>
      </w:r>
      <w:r w:rsidR="00BD7179">
        <w:t>6</w:t>
      </w:r>
      <w:r w:rsidR="00D84436">
        <w:t xml:space="preserve">, 2017, HB 178 was enacted into </w:t>
      </w:r>
      <w:r w:rsidR="009C4345">
        <w:t xml:space="preserve">law as </w:t>
      </w:r>
      <w:r w:rsidR="00D84436">
        <w:t>Act 55 of 2017</w:t>
      </w:r>
      <w:r w:rsidR="009C4345">
        <w:t xml:space="preserve">. Act 55 amends </w:t>
      </w:r>
      <w:r w:rsidR="00890A3E">
        <w:t>the school code to: 1) add a new basis for</w:t>
      </w:r>
      <w:r w:rsidR="00D60058">
        <w:t xml:space="preserve"> </w:t>
      </w:r>
      <w:r w:rsidR="00890A3E">
        <w:t>the furlough of professional employees by</w:t>
      </w:r>
      <w:r w:rsidR="00D60058">
        <w:t xml:space="preserve"> school entities</w:t>
      </w:r>
      <w:r w:rsidR="00890A3E">
        <w:t>; and 2) change</w:t>
      </w:r>
      <w:r w:rsidR="00D60058">
        <w:t xml:space="preserve"> the</w:t>
      </w:r>
      <w:r>
        <w:t xml:space="preserve"> rules associated with the </w:t>
      </w:r>
      <w:r w:rsidR="00D60058">
        <w:t xml:space="preserve">order in which professional employees are </w:t>
      </w:r>
      <w:r>
        <w:t>furlough</w:t>
      </w:r>
      <w:r w:rsidR="00D60058">
        <w:t>ed. In the past, furloughs could be based only on a decrease in pupil enrollment, the curtailment or alteration of an educational program, or the consolidatio</w:t>
      </w:r>
      <w:r w:rsidR="00BC6B85">
        <w:t>n or reorganization of schools. N</w:t>
      </w:r>
      <w:r w:rsidR="00D60058">
        <w:t>ow, f</w:t>
      </w:r>
      <w:bookmarkStart w:id="0" w:name="_GoBack"/>
      <w:bookmarkEnd w:id="0"/>
      <w:r w:rsidR="00D60058">
        <w:t xml:space="preserve">urloughs </w:t>
      </w:r>
      <w:r w:rsidR="00BC6B85">
        <w:t xml:space="preserve">can </w:t>
      </w:r>
      <w:r w:rsidR="00E11723">
        <w:t xml:space="preserve">also </w:t>
      </w:r>
      <w:r w:rsidR="00D60058">
        <w:t xml:space="preserve">be based on a school entity’s economic need. </w:t>
      </w:r>
      <w:r>
        <w:t>In</w:t>
      </w:r>
      <w:r w:rsidR="00D60058">
        <w:t xml:space="preserve"> addition,</w:t>
      </w:r>
      <w:r>
        <w:t xml:space="preserve"> furlough decisions </w:t>
      </w:r>
      <w:r w:rsidR="00D55BBB">
        <w:t xml:space="preserve">under the previous law </w:t>
      </w:r>
      <w:r w:rsidR="00890A3E">
        <w:t>were based solely</w:t>
      </w:r>
      <w:r>
        <w:t xml:space="preserve"> upon employees’ seniority; now, furlough decisi</w:t>
      </w:r>
      <w:r w:rsidR="002E5A54">
        <w:t>ons are based upon a combination</w:t>
      </w:r>
      <w:r>
        <w:t xml:space="preserve"> of employees’ seniority and </w:t>
      </w:r>
      <w:r w:rsidR="005C046C">
        <w:t xml:space="preserve">performance </w:t>
      </w:r>
      <w:r>
        <w:t xml:space="preserve">evaluation results. </w:t>
      </w:r>
    </w:p>
    <w:p w14:paraId="439737EE" w14:textId="77777777" w:rsidR="00D55BBB" w:rsidRDefault="00D55BBB" w:rsidP="00494A2C">
      <w:pPr>
        <w:spacing w:after="0" w:line="240" w:lineRule="auto"/>
      </w:pPr>
    </w:p>
    <w:p w14:paraId="1B497962" w14:textId="77777777" w:rsidR="0009435A" w:rsidRDefault="0009435A" w:rsidP="0009435A">
      <w:pPr>
        <w:spacing w:after="0" w:line="240" w:lineRule="auto"/>
        <w:rPr>
          <w:b/>
        </w:rPr>
      </w:pPr>
      <w:r>
        <w:t xml:space="preserve">The new provisions become effective immediately unless a collective bargaining agreement explicitly addresses the </w:t>
      </w:r>
      <w:proofErr w:type="gramStart"/>
      <w:r>
        <w:t>manner in which</w:t>
      </w:r>
      <w:proofErr w:type="gramEnd"/>
      <w:r>
        <w:t xml:space="preserve"> employees will be fu</w:t>
      </w:r>
      <w:r w:rsidR="00214A6A">
        <w:t xml:space="preserve">rloughed, in which case Act 55 </w:t>
      </w:r>
      <w:r>
        <w:t>applies on the date of contract exp</w:t>
      </w:r>
      <w:r w:rsidRPr="00890A3E">
        <w:t>iration. If a collective bargaining agreement incorporates the School Code by reference, then the new provisions are effective immediately.</w:t>
      </w:r>
    </w:p>
    <w:p w14:paraId="6CC268DC" w14:textId="77777777" w:rsidR="0009435A" w:rsidRDefault="0009435A" w:rsidP="00494A2C">
      <w:pPr>
        <w:spacing w:after="0" w:line="240" w:lineRule="auto"/>
      </w:pPr>
    </w:p>
    <w:p w14:paraId="793DABF7" w14:textId="77777777" w:rsidR="00890A3E" w:rsidRDefault="009103D4" w:rsidP="00494A2C">
      <w:pPr>
        <w:spacing w:after="0" w:line="240" w:lineRule="auto"/>
      </w:pPr>
      <w:r>
        <w:t>PSEA</w:t>
      </w:r>
      <w:r w:rsidR="008E2153">
        <w:t xml:space="preserve"> </w:t>
      </w:r>
      <w:r>
        <w:t>opposes these changes to the furlough process and will continue to defend members’ rights</w:t>
      </w:r>
      <w:r w:rsidR="008E2153">
        <w:t xml:space="preserve"> within the new system</w:t>
      </w:r>
      <w:r>
        <w:t xml:space="preserve">. </w:t>
      </w:r>
      <w:r w:rsidR="00B26026">
        <w:t>Lo</w:t>
      </w:r>
      <w:r w:rsidR="00890A3E">
        <w:t>cal associations</w:t>
      </w:r>
      <w:r w:rsidR="00B26026">
        <w:t>, however,</w:t>
      </w:r>
      <w:r w:rsidR="00890A3E">
        <w:t xml:space="preserve"> cannot bargain contract language that is inconsistent with the new law. </w:t>
      </w:r>
    </w:p>
    <w:p w14:paraId="3FCAD682" w14:textId="2F97562F" w:rsidR="00890A3E" w:rsidRDefault="00890A3E" w:rsidP="00494A2C">
      <w:pPr>
        <w:spacing w:after="0" w:line="240" w:lineRule="auto"/>
      </w:pPr>
    </w:p>
    <w:p w14:paraId="6394038E" w14:textId="77777777" w:rsidR="007B7AFD" w:rsidRPr="00DD4616" w:rsidRDefault="00E27071" w:rsidP="00494A2C">
      <w:pPr>
        <w:spacing w:after="0" w:line="240" w:lineRule="auto"/>
        <w:rPr>
          <w:b/>
          <w:sz w:val="28"/>
        </w:rPr>
      </w:pPr>
      <w:r w:rsidRPr="00494A2C">
        <w:rPr>
          <w:b/>
          <w:sz w:val="28"/>
        </w:rPr>
        <w:t>What the New Law Says</w:t>
      </w:r>
    </w:p>
    <w:p w14:paraId="40593F9E" w14:textId="77777777" w:rsidR="00B26026" w:rsidRDefault="002E5A54" w:rsidP="00494A2C">
      <w:pPr>
        <w:spacing w:after="0" w:line="240" w:lineRule="auto"/>
      </w:pPr>
      <w:r>
        <w:t xml:space="preserve">As in the past, </w:t>
      </w:r>
      <w:r w:rsidR="00D60058">
        <w:t xml:space="preserve">when a school entity decides to implement </w:t>
      </w:r>
      <w:r w:rsidR="00B26026">
        <w:t xml:space="preserve">furloughs for one of the </w:t>
      </w:r>
      <w:r w:rsidR="00D60058">
        <w:t xml:space="preserve">reasons listed above, </w:t>
      </w:r>
      <w:r w:rsidR="00CF7619">
        <w:t xml:space="preserve">temporary professional employees are </w:t>
      </w:r>
      <w:r>
        <w:t>the f</w:t>
      </w:r>
      <w:r w:rsidR="00B80D18">
        <w:t>irst educators to face furlough</w:t>
      </w:r>
      <w:r w:rsidR="007B7AFD">
        <w:t xml:space="preserve">. </w:t>
      </w:r>
      <w:r w:rsidR="00D84436">
        <w:t>Among profes</w:t>
      </w:r>
      <w:r w:rsidR="00214A6A">
        <w:t xml:space="preserve">sional employees, Act 55 </w:t>
      </w:r>
      <w:r w:rsidR="004D3838">
        <w:t>places</w:t>
      </w:r>
      <w:r w:rsidR="00B26026">
        <w:t xml:space="preserve"> each educator</w:t>
      </w:r>
      <w:r w:rsidR="004D3838">
        <w:t xml:space="preserve"> into one of four</w:t>
      </w:r>
      <w:r>
        <w:t xml:space="preserve"> categories based upon evaluation results</w:t>
      </w:r>
      <w:r w:rsidR="006C079F">
        <w:t xml:space="preserve"> from an employee’s last two consecutive evaluations</w:t>
      </w:r>
      <w:r>
        <w:t>.</w:t>
      </w:r>
      <w:r w:rsidR="00890A3E">
        <w:rPr>
          <w:rStyle w:val="FootnoteReference"/>
        </w:rPr>
        <w:footnoteReference w:id="1"/>
      </w:r>
      <w:r w:rsidR="00890A3E">
        <w:t xml:space="preserve"> </w:t>
      </w:r>
      <w:r w:rsidR="004D3838">
        <w:t>Within each of these four</w:t>
      </w:r>
      <w:r>
        <w:t xml:space="preserve"> categories, </w:t>
      </w:r>
      <w:r w:rsidRPr="004018DD">
        <w:rPr>
          <w:b/>
        </w:rPr>
        <w:t>furlough decisio</w:t>
      </w:r>
      <w:r w:rsidR="004D3838">
        <w:rPr>
          <w:b/>
        </w:rPr>
        <w:t xml:space="preserve">ns </w:t>
      </w:r>
      <w:r w:rsidRPr="004018DD">
        <w:rPr>
          <w:b/>
        </w:rPr>
        <w:t xml:space="preserve">are based upon seniority within </w:t>
      </w:r>
      <w:r w:rsidR="00700607" w:rsidRPr="004018DD">
        <w:rPr>
          <w:b/>
        </w:rPr>
        <w:t xml:space="preserve">the </w:t>
      </w:r>
      <w:r w:rsidRPr="004018DD">
        <w:rPr>
          <w:b/>
        </w:rPr>
        <w:t>certificate</w:t>
      </w:r>
      <w:r w:rsidR="008A513F" w:rsidRPr="004018DD">
        <w:rPr>
          <w:b/>
        </w:rPr>
        <w:t>d</w:t>
      </w:r>
      <w:r w:rsidRPr="004018DD">
        <w:rPr>
          <w:b/>
        </w:rPr>
        <w:t xml:space="preserve"> area</w:t>
      </w:r>
      <w:r w:rsidR="008A513F" w:rsidRPr="004018DD">
        <w:rPr>
          <w:b/>
        </w:rPr>
        <w:t xml:space="preserve"> of </w:t>
      </w:r>
      <w:r w:rsidR="00700607" w:rsidRPr="004018DD">
        <w:rPr>
          <w:b/>
        </w:rPr>
        <w:t xml:space="preserve">an educator’s current </w:t>
      </w:r>
      <w:r w:rsidR="008A513F" w:rsidRPr="004018DD">
        <w:rPr>
          <w:b/>
        </w:rPr>
        <w:t>assignment</w:t>
      </w:r>
      <w:r w:rsidRPr="004018DD">
        <w:rPr>
          <w:b/>
        </w:rPr>
        <w:t>.</w:t>
      </w:r>
      <w:r w:rsidR="00E623C3">
        <w:t xml:space="preserve"> </w:t>
      </w:r>
    </w:p>
    <w:p w14:paraId="3AEA72DB" w14:textId="77777777" w:rsidR="00B26026" w:rsidRDefault="00B26026" w:rsidP="00494A2C">
      <w:pPr>
        <w:spacing w:after="0" w:line="240" w:lineRule="auto"/>
      </w:pPr>
    </w:p>
    <w:p w14:paraId="4F4508F5" w14:textId="77777777" w:rsidR="008F501A" w:rsidRDefault="008F501A" w:rsidP="00494A2C">
      <w:pPr>
        <w:spacing w:after="0" w:line="240" w:lineRule="auto"/>
      </w:pPr>
      <w:r>
        <w:t xml:space="preserve">Figure 1 displays the four evaluation categories defined in the new law. </w:t>
      </w:r>
    </w:p>
    <w:p w14:paraId="26759132" w14:textId="77777777" w:rsidR="00494A2C" w:rsidRDefault="00494A2C" w:rsidP="00494A2C">
      <w:pPr>
        <w:spacing w:after="0" w:line="240" w:lineRule="auto"/>
        <w:rPr>
          <w:b/>
          <w:i/>
        </w:rPr>
      </w:pPr>
    </w:p>
    <w:p w14:paraId="074FFE1D" w14:textId="77777777" w:rsidR="00DD4616" w:rsidRDefault="00DD4616" w:rsidP="00494A2C">
      <w:pPr>
        <w:spacing w:after="0" w:line="240" w:lineRule="auto"/>
      </w:pPr>
      <w:r>
        <w:rPr>
          <w:noProof/>
        </w:rPr>
        <w:lastRenderedPageBreak/>
        <mc:AlternateContent>
          <mc:Choice Requires="wps">
            <w:drawing>
              <wp:anchor distT="45720" distB="45720" distL="114300" distR="114300" simplePos="0" relativeHeight="251657728" behindDoc="0" locked="0" layoutInCell="1" allowOverlap="1" wp14:anchorId="3B9CE53A" wp14:editId="0D12B2C6">
                <wp:simplePos x="0" y="0"/>
                <wp:positionH relativeFrom="margin">
                  <wp:posOffset>4244340</wp:posOffset>
                </wp:positionH>
                <wp:positionV relativeFrom="paragraph">
                  <wp:posOffset>523875</wp:posOffset>
                </wp:positionV>
                <wp:extent cx="1691640" cy="271145"/>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71145"/>
                        </a:xfrm>
                        <a:prstGeom prst="rect">
                          <a:avLst/>
                        </a:prstGeom>
                        <a:solidFill>
                          <a:srgbClr val="FFFFFF"/>
                        </a:solidFill>
                        <a:ln w="9525">
                          <a:noFill/>
                          <a:miter lim="800000"/>
                          <a:headEnd/>
                          <a:tailEnd/>
                        </a:ln>
                      </wps:spPr>
                      <wps:txbx>
                        <w:txbxContent>
                          <w:p w14:paraId="6B9A3BEC" w14:textId="77777777" w:rsidR="008F501A" w:rsidRPr="008A513F" w:rsidRDefault="008F501A" w:rsidP="008A513F">
                            <w:pPr>
                              <w:jc w:val="center"/>
                              <w:rPr>
                                <w:b/>
                              </w:rPr>
                            </w:pPr>
                            <w:r w:rsidRPr="008A513F">
                              <w:rPr>
                                <w:b/>
                              </w:rPr>
                              <w:t>Fourth 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CE53A" id="_x0000_t202" coordsize="21600,21600" o:spt="202" path="m,l,21600r21600,l21600,xe">
                <v:stroke joinstyle="miter"/>
                <v:path gradientshapeok="t" o:connecttype="rect"/>
              </v:shapetype>
              <v:shape id="Text Box 2" o:spid="_x0000_s1026" type="#_x0000_t202" style="position:absolute;margin-left:334.2pt;margin-top:41.25pt;width:133.2pt;height:21.3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" stroked="f">
                <v:textbox>
                  <w:txbxContent>
                    <w:p w14:paraId="6B9A3BEC" w14:textId="77777777" w:rsidR="008F501A" w:rsidRPr="008A513F" w:rsidRDefault="008F501A" w:rsidP="008A513F">
                      <w:pPr>
                        <w:jc w:val="center"/>
                        <w:rPr>
                          <w:b/>
                        </w:rPr>
                      </w:pPr>
                      <w:r w:rsidRPr="008A513F">
                        <w:rPr>
                          <w:b/>
                        </w:rPr>
                        <w:t>Fourth Category</w:t>
                      </w:r>
                    </w:p>
                  </w:txbxContent>
                </v:textbox>
                <w10:wrap type="square" anchorx="margin"/>
              </v:shape>
            </w:pict>
          </mc:Fallback>
        </mc:AlternateContent>
      </w:r>
      <w:r>
        <w:rPr>
          <w:noProof/>
        </w:rPr>
        <w:drawing>
          <wp:anchor distT="0" distB="0" distL="114300" distR="114300" simplePos="0" relativeHeight="251661824" behindDoc="0" locked="0" layoutInCell="1" allowOverlap="1" wp14:anchorId="2160FB19" wp14:editId="208DA528">
            <wp:simplePos x="0" y="0"/>
            <wp:positionH relativeFrom="column">
              <wp:posOffset>0</wp:posOffset>
            </wp:positionH>
            <wp:positionV relativeFrom="paragraph">
              <wp:posOffset>950595</wp:posOffset>
            </wp:positionV>
            <wp:extent cx="5943600" cy="17049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39202"/>
                    <a:stretch/>
                  </pic:blipFill>
                  <pic:spPr bwMode="auto">
                    <a:xfrm>
                      <a:off x="0" y="0"/>
                      <a:ext cx="5943600" cy="1704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80D18">
        <w:rPr>
          <w:noProof/>
        </w:rPr>
        <mc:AlternateContent>
          <mc:Choice Requires="wps">
            <w:drawing>
              <wp:anchor distT="45720" distB="45720" distL="114300" distR="114300" simplePos="0" relativeHeight="251655680" behindDoc="0" locked="0" layoutInCell="1" allowOverlap="1" wp14:anchorId="7505B669" wp14:editId="7733D3E6">
                <wp:simplePos x="0" y="0"/>
                <wp:positionH relativeFrom="column">
                  <wp:posOffset>2933065</wp:posOffset>
                </wp:positionH>
                <wp:positionV relativeFrom="paragraph">
                  <wp:posOffset>537210</wp:posOffset>
                </wp:positionV>
                <wp:extent cx="1516380" cy="274955"/>
                <wp:effectExtent l="0" t="0" r="762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4955"/>
                        </a:xfrm>
                        <a:prstGeom prst="rect">
                          <a:avLst/>
                        </a:prstGeom>
                        <a:solidFill>
                          <a:srgbClr val="FFFFFF"/>
                        </a:solidFill>
                        <a:ln w="9525">
                          <a:noFill/>
                          <a:miter lim="800000"/>
                          <a:headEnd/>
                          <a:tailEnd/>
                        </a:ln>
                      </wps:spPr>
                      <wps:txbx>
                        <w:txbxContent>
                          <w:p w14:paraId="0768EE40" w14:textId="77777777" w:rsidR="008F501A" w:rsidRPr="008A513F" w:rsidRDefault="008F501A" w:rsidP="008A513F">
                            <w:pPr>
                              <w:jc w:val="center"/>
                              <w:rPr>
                                <w:b/>
                              </w:rPr>
                            </w:pPr>
                            <w:r w:rsidRPr="008A513F">
                              <w:rPr>
                                <w:b/>
                              </w:rPr>
                              <w:t>Third 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5B669" id="_x0000_s1027" type="#_x0000_t202" style="position:absolute;margin-left:230.95pt;margin-top:42.3pt;width:119.4pt;height:21.6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" stroked="f">
                <v:textbox>
                  <w:txbxContent>
                    <w:p w14:paraId="0768EE40" w14:textId="77777777" w:rsidR="008F501A" w:rsidRPr="008A513F" w:rsidRDefault="008F501A" w:rsidP="008A513F">
                      <w:pPr>
                        <w:jc w:val="center"/>
                        <w:rPr>
                          <w:b/>
                        </w:rPr>
                      </w:pPr>
                      <w:r w:rsidRPr="008A513F">
                        <w:rPr>
                          <w:b/>
                        </w:rPr>
                        <w:t>Third Category</w:t>
                      </w:r>
                    </w:p>
                  </w:txbxContent>
                </v:textbox>
                <w10:wrap type="square"/>
              </v:shape>
            </w:pict>
          </mc:Fallback>
        </mc:AlternateContent>
      </w:r>
      <w:r w:rsidR="00B80D18">
        <w:rPr>
          <w:noProof/>
        </w:rPr>
        <mc:AlternateContent>
          <mc:Choice Requires="wps">
            <w:drawing>
              <wp:anchor distT="45720" distB="45720" distL="114300" distR="114300" simplePos="0" relativeHeight="251654656" behindDoc="0" locked="0" layoutInCell="1" allowOverlap="1" wp14:anchorId="1A552534" wp14:editId="4F80FF1A">
                <wp:simplePos x="0" y="0"/>
                <wp:positionH relativeFrom="column">
                  <wp:posOffset>1553210</wp:posOffset>
                </wp:positionH>
                <wp:positionV relativeFrom="paragraph">
                  <wp:posOffset>530225</wp:posOffset>
                </wp:positionV>
                <wp:extent cx="1516380" cy="264795"/>
                <wp:effectExtent l="0" t="0" r="762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64795"/>
                        </a:xfrm>
                        <a:prstGeom prst="rect">
                          <a:avLst/>
                        </a:prstGeom>
                        <a:solidFill>
                          <a:srgbClr val="FFFFFF"/>
                        </a:solidFill>
                        <a:ln w="9525">
                          <a:noFill/>
                          <a:miter lim="800000"/>
                          <a:headEnd/>
                          <a:tailEnd/>
                        </a:ln>
                      </wps:spPr>
                      <wps:txbx>
                        <w:txbxContent>
                          <w:p w14:paraId="1BC99795" w14:textId="77777777" w:rsidR="008F501A" w:rsidRPr="008A513F" w:rsidRDefault="008F501A" w:rsidP="008A513F">
                            <w:pPr>
                              <w:jc w:val="center"/>
                              <w:rPr>
                                <w:b/>
                              </w:rPr>
                            </w:pPr>
                            <w:r w:rsidRPr="00E11723">
                              <w:rPr>
                                <w:b/>
                              </w:rPr>
                              <w:t>Second</w:t>
                            </w:r>
                            <w:r w:rsidRPr="008A513F">
                              <w:rPr>
                                <w:b/>
                                <w:sz w:val="20"/>
                              </w:rPr>
                              <w:t xml:space="preserve"> C</w:t>
                            </w:r>
                            <w:r w:rsidRPr="008A513F">
                              <w:rPr>
                                <w:b/>
                              </w:rPr>
                              <w:t>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52534" id="_x0000_s1028" type="#_x0000_t202" style="position:absolute;margin-left:122.3pt;margin-top:41.75pt;width:119.4pt;height:20.8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" stroked="f">
                <v:textbox>
                  <w:txbxContent>
                    <w:p w14:paraId="1BC99795" w14:textId="77777777" w:rsidR="008F501A" w:rsidRPr="008A513F" w:rsidRDefault="008F501A" w:rsidP="008A513F">
                      <w:pPr>
                        <w:jc w:val="center"/>
                        <w:rPr>
                          <w:b/>
                        </w:rPr>
                      </w:pPr>
                      <w:r w:rsidRPr="00E11723">
                        <w:rPr>
                          <w:b/>
                        </w:rPr>
                        <w:t>Second</w:t>
                      </w:r>
                      <w:r w:rsidRPr="008A513F">
                        <w:rPr>
                          <w:b/>
                          <w:sz w:val="20"/>
                        </w:rPr>
                        <w:t xml:space="preserve"> C</w:t>
                      </w:r>
                      <w:r w:rsidRPr="008A513F">
                        <w:rPr>
                          <w:b/>
                        </w:rPr>
                        <w:t>ategory</w:t>
                      </w:r>
                    </w:p>
                  </w:txbxContent>
                </v:textbox>
                <w10:wrap type="square"/>
              </v:shape>
            </w:pict>
          </mc:Fallback>
        </mc:AlternateContent>
      </w:r>
      <w:r w:rsidR="00B80D18">
        <w:rPr>
          <w:noProof/>
        </w:rPr>
        <mc:AlternateContent>
          <mc:Choice Requires="wps">
            <w:drawing>
              <wp:anchor distT="45720" distB="45720" distL="114300" distR="114300" simplePos="0" relativeHeight="251653632" behindDoc="0" locked="0" layoutInCell="1" allowOverlap="1" wp14:anchorId="22C75FAA" wp14:editId="55ADC0B7">
                <wp:simplePos x="0" y="0"/>
                <wp:positionH relativeFrom="margin">
                  <wp:align>left</wp:align>
                </wp:positionH>
                <wp:positionV relativeFrom="paragraph">
                  <wp:posOffset>521970</wp:posOffset>
                </wp:positionV>
                <wp:extent cx="1516380" cy="264795"/>
                <wp:effectExtent l="0" t="0" r="762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65057"/>
                        </a:xfrm>
                        <a:prstGeom prst="rect">
                          <a:avLst/>
                        </a:prstGeom>
                        <a:solidFill>
                          <a:srgbClr val="FFFFFF"/>
                        </a:solidFill>
                        <a:ln w="9525">
                          <a:noFill/>
                          <a:miter lim="800000"/>
                          <a:headEnd/>
                          <a:tailEnd/>
                        </a:ln>
                      </wps:spPr>
                      <wps:txbx>
                        <w:txbxContent>
                          <w:p w14:paraId="7A1CF54B" w14:textId="77777777" w:rsidR="008F501A" w:rsidRPr="00B80D18" w:rsidRDefault="008F501A" w:rsidP="008A513F">
                            <w:pPr>
                              <w:jc w:val="center"/>
                              <w:rPr>
                                <w:b/>
                              </w:rPr>
                            </w:pPr>
                            <w:r w:rsidRPr="00B80D18">
                              <w:rPr>
                                <w:b/>
                              </w:rPr>
                              <w:t>First 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75FAA" id="_x0000_s1029" type="#_x0000_t202" style="position:absolute;margin-left:0;margin-top:41.1pt;width:119.4pt;height:20.85pt;z-index:251653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" stroked="f">
                <v:textbox>
                  <w:txbxContent>
                    <w:p w14:paraId="7A1CF54B" w14:textId="77777777" w:rsidR="008F501A" w:rsidRPr="00B80D18" w:rsidRDefault="008F501A" w:rsidP="008A513F">
                      <w:pPr>
                        <w:jc w:val="center"/>
                        <w:rPr>
                          <w:b/>
                        </w:rPr>
                      </w:pPr>
                      <w:r w:rsidRPr="00B80D18">
                        <w:rPr>
                          <w:b/>
                        </w:rPr>
                        <w:t>First Category</w:t>
                      </w:r>
                    </w:p>
                  </w:txbxContent>
                </v:textbox>
                <w10:wrap type="square" anchorx="margin"/>
              </v:shape>
            </w:pict>
          </mc:Fallback>
        </mc:AlternateContent>
      </w:r>
      <w:r w:rsidR="008F501A" w:rsidRPr="008F501A">
        <w:rPr>
          <w:b/>
          <w:i/>
        </w:rPr>
        <w:t>Figure 1: Professional Employee Evaluation Categories for</w:t>
      </w:r>
      <w:r w:rsidR="008A513F">
        <w:rPr>
          <w:b/>
          <w:i/>
        </w:rPr>
        <w:t xml:space="preserve"> Furlough within Certificated</w:t>
      </w:r>
      <w:r w:rsidR="008F501A" w:rsidRPr="008F501A">
        <w:rPr>
          <w:b/>
          <w:i/>
        </w:rPr>
        <w:t xml:space="preserve"> Area</w:t>
      </w:r>
      <w:r w:rsidR="008A513F">
        <w:rPr>
          <w:b/>
          <w:i/>
        </w:rPr>
        <w:t xml:space="preserve"> of </w:t>
      </w:r>
      <w:r w:rsidR="00527C4A">
        <w:rPr>
          <w:b/>
          <w:i/>
        </w:rPr>
        <w:t xml:space="preserve">Current </w:t>
      </w:r>
      <w:r>
        <w:rPr>
          <w:b/>
          <w:i/>
        </w:rPr>
        <w:t>Assignment</w:t>
      </w:r>
    </w:p>
    <w:p w14:paraId="22D454EF" w14:textId="77777777" w:rsidR="00DD4616" w:rsidRDefault="00DD4616" w:rsidP="00494A2C">
      <w:pPr>
        <w:spacing w:after="0" w:line="240" w:lineRule="auto"/>
      </w:pPr>
    </w:p>
    <w:p w14:paraId="46CB29B8" w14:textId="77777777" w:rsidR="00DD4616" w:rsidRDefault="00DD4616" w:rsidP="00494A2C">
      <w:pPr>
        <w:spacing w:after="0" w:line="240" w:lineRule="auto"/>
      </w:pPr>
    </w:p>
    <w:p w14:paraId="7B0C49F6" w14:textId="77777777" w:rsidR="00DD4616" w:rsidRDefault="00DD4616" w:rsidP="00494A2C">
      <w:pPr>
        <w:spacing w:after="0" w:line="240" w:lineRule="auto"/>
      </w:pPr>
    </w:p>
    <w:p w14:paraId="217E6592" w14:textId="77777777" w:rsidR="008A513F" w:rsidRDefault="008A513F" w:rsidP="00494A2C">
      <w:pPr>
        <w:spacing w:after="0" w:line="240" w:lineRule="auto"/>
      </w:pPr>
      <w:r>
        <w:t>In practical terms, the new law does not change the status of temporary professional employees (who will continue to be the first to face furlough) or professional employees with two u</w:t>
      </w:r>
      <w:r w:rsidR="004D3838">
        <w:t>nsatisfactory ratings (who may face dismissal under the School Code</w:t>
      </w:r>
      <w:r>
        <w:t xml:space="preserve">). The greatest impact of the law will be on professional employees </w:t>
      </w:r>
      <w:r w:rsidR="006C079F">
        <w:t>who have</w:t>
      </w:r>
      <w:r w:rsidR="00D55BBB">
        <w:t xml:space="preserve"> </w:t>
      </w:r>
      <w:r w:rsidR="004D3838">
        <w:t>received one unsatisfactory rating</w:t>
      </w:r>
      <w:r w:rsidR="0082156D">
        <w:t xml:space="preserve"> within their last two consecutive ratings</w:t>
      </w:r>
      <w:r w:rsidR="00693892">
        <w:t xml:space="preserve">. These employees </w:t>
      </w:r>
      <w:r w:rsidR="004D3838">
        <w:t xml:space="preserve">will fall into Category 2 and be furloughed before their peers who have two satisfactory ratings in Category 3.  Additionally, employees in Category 3 will be furloughed before their peers in Category 4. </w:t>
      </w:r>
    </w:p>
    <w:p w14:paraId="090B479E" w14:textId="77777777" w:rsidR="001F2FEB" w:rsidRDefault="001F2FEB" w:rsidP="00494A2C">
      <w:pPr>
        <w:spacing w:after="0" w:line="240" w:lineRule="auto"/>
      </w:pPr>
    </w:p>
    <w:p w14:paraId="10C72702" w14:textId="77777777" w:rsidR="00494A2C" w:rsidRPr="00D55BBB" w:rsidRDefault="004D3838" w:rsidP="00494A2C">
      <w:pPr>
        <w:spacing w:after="0" w:line="240" w:lineRule="auto"/>
      </w:pPr>
      <w:r>
        <w:t xml:space="preserve">In this new system, </w:t>
      </w:r>
      <w:proofErr w:type="gramStart"/>
      <w:r w:rsidR="007B7AFD">
        <w:t>the vast majority of</w:t>
      </w:r>
      <w:proofErr w:type="gramEnd"/>
      <w:r w:rsidR="007B7AFD">
        <w:t xml:space="preserve"> professional employees are </w:t>
      </w:r>
      <w:r>
        <w:t>contained with</w:t>
      </w:r>
      <w:r w:rsidR="00214A6A">
        <w:t>in the same c</w:t>
      </w:r>
      <w:r w:rsidR="007B7AFD">
        <w:t>ategory (Category 3)</w:t>
      </w:r>
      <w:r>
        <w:t>. Therefore,</w:t>
      </w:r>
      <w:r w:rsidR="00B26026">
        <w:t xml:space="preserve"> most </w:t>
      </w:r>
      <w:r w:rsidR="001F2FEB">
        <w:t xml:space="preserve">PSEA members </w:t>
      </w:r>
      <w:r w:rsidR="007B7AFD">
        <w:t xml:space="preserve">facing furlough </w:t>
      </w:r>
      <w:r w:rsidR="001F2FEB">
        <w:t>will continue to be furloughed by seniority</w:t>
      </w:r>
      <w:r w:rsidR="00387764">
        <w:t xml:space="preserve"> within their certificated area of assignment</w:t>
      </w:r>
      <w:r w:rsidR="001F2FEB">
        <w:t>.</w:t>
      </w:r>
      <w:r w:rsidR="00307811">
        <w:t xml:space="preserve"> </w:t>
      </w:r>
      <w:bookmarkStart w:id="1" w:name="_Hlk497773454"/>
      <w:r w:rsidR="004B73AA">
        <w:t>T</w:t>
      </w:r>
      <w:r>
        <w:t>he new law</w:t>
      </w:r>
      <w:r w:rsidR="004B73AA">
        <w:t xml:space="preserve"> eliminates </w:t>
      </w:r>
      <w:r>
        <w:t>further realignment. This means that professional employees who are identified for furlough will not be able to use dual certificates to realign into other program areas to displace less senior professional employees</w:t>
      </w:r>
      <w:r w:rsidR="00214A6A">
        <w:t>. In addition</w:t>
      </w:r>
      <w:r w:rsidR="004B73AA">
        <w:t xml:space="preserve">, unions are no longer </w:t>
      </w:r>
      <w:r>
        <w:t>able to bargain for “checkerboarding” realignment, where professional employees who are more senior and hold dual certificates, but who themselves are not identified for furlough, are forced to move into those other areas of certification so that ultimately the least senior person in any program area is furloughed.</w:t>
      </w:r>
      <w:bookmarkEnd w:id="1"/>
      <w:r w:rsidR="00307811">
        <w:t xml:space="preserve"> </w:t>
      </w:r>
    </w:p>
    <w:p w14:paraId="43302A74" w14:textId="77777777" w:rsidR="007B7AFD" w:rsidRDefault="007B7AFD" w:rsidP="00494A2C">
      <w:pPr>
        <w:spacing w:after="0" w:line="240" w:lineRule="auto"/>
        <w:rPr>
          <w:b/>
          <w:sz w:val="28"/>
        </w:rPr>
      </w:pPr>
    </w:p>
    <w:p w14:paraId="29D97CDB" w14:textId="77777777" w:rsidR="004B73AA" w:rsidRDefault="004B73AA" w:rsidP="004B73AA">
      <w:pPr>
        <w:spacing w:after="0" w:line="240" w:lineRule="auto"/>
      </w:pPr>
      <w:r>
        <w:t xml:space="preserve">Professional employees still will be able to use any valid certificate for recall </w:t>
      </w:r>
      <w:proofErr w:type="gramStart"/>
      <w:r>
        <w:t>purposes, and</w:t>
      </w:r>
      <w:proofErr w:type="gramEnd"/>
      <w:r>
        <w:t xml:space="preserve"> recall </w:t>
      </w:r>
      <w:r w:rsidR="00B26026">
        <w:t xml:space="preserve">from categories </w:t>
      </w:r>
      <w:r>
        <w:t xml:space="preserve">will occur in reverse order (i.e., Category 4, 3, 2, and then 1). </w:t>
      </w:r>
    </w:p>
    <w:p w14:paraId="1797B9CC" w14:textId="77777777" w:rsidR="004B73AA" w:rsidRDefault="004B73AA" w:rsidP="00494A2C">
      <w:pPr>
        <w:spacing w:after="0" w:line="240" w:lineRule="auto"/>
        <w:rPr>
          <w:b/>
          <w:sz w:val="28"/>
        </w:rPr>
      </w:pPr>
    </w:p>
    <w:p w14:paraId="32BF9197" w14:textId="77777777" w:rsidR="007B7AFD" w:rsidRPr="00DD4616" w:rsidRDefault="00F01F91" w:rsidP="00556CAC">
      <w:pPr>
        <w:spacing w:after="0" w:line="240" w:lineRule="auto"/>
        <w:rPr>
          <w:sz w:val="28"/>
        </w:rPr>
      </w:pPr>
      <w:r w:rsidRPr="00494A2C">
        <w:rPr>
          <w:b/>
          <w:sz w:val="28"/>
        </w:rPr>
        <w:t>How the New Law Developed</w:t>
      </w:r>
      <w:r w:rsidR="008A359A" w:rsidRPr="00494A2C">
        <w:rPr>
          <w:b/>
          <w:sz w:val="28"/>
        </w:rPr>
        <w:t xml:space="preserve"> and Passed</w:t>
      </w:r>
    </w:p>
    <w:p w14:paraId="7A411675" w14:textId="77777777" w:rsidR="00C4070D" w:rsidRPr="008E2153" w:rsidRDefault="00F01F91" w:rsidP="00556CAC">
      <w:pPr>
        <w:spacing w:after="0" w:line="240" w:lineRule="auto"/>
      </w:pPr>
      <w:r>
        <w:t>For several years, a group of</w:t>
      </w:r>
      <w:r w:rsidR="00F62C60">
        <w:t xml:space="preserve"> Pennsylvania legislators</w:t>
      </w:r>
      <w:r>
        <w:t xml:space="preserve"> has been working to eradicate seniority-based furlough in favor of a system based upon </w:t>
      </w:r>
      <w:r w:rsidR="00CC75D0">
        <w:t xml:space="preserve">specific </w:t>
      </w:r>
      <w:r w:rsidR="008E2153">
        <w:t>measures of educator quality</w:t>
      </w:r>
      <w:r w:rsidR="00CB521E">
        <w:t>.</w:t>
      </w:r>
      <w:r>
        <w:t xml:space="preserve"> PSEA has consistently argued that </w:t>
      </w:r>
      <w:r w:rsidR="00F62C60">
        <w:t xml:space="preserve">existing </w:t>
      </w:r>
      <w:r>
        <w:t>measu</w:t>
      </w:r>
      <w:r w:rsidR="00F62C60">
        <w:t>res of educator quality are neither</w:t>
      </w:r>
      <w:r>
        <w:t xml:space="preserve"> sufficiently valid </w:t>
      </w:r>
      <w:r w:rsidR="00F62C60">
        <w:t>n</w:t>
      </w:r>
      <w:r>
        <w:t>or reliable</w:t>
      </w:r>
      <w:r w:rsidR="00971E52">
        <w:t xml:space="preserve"> </w:t>
      </w:r>
      <w:r w:rsidR="00F62C60">
        <w:t>to rank</w:t>
      </w:r>
      <w:r w:rsidR="00971E52">
        <w:t xml:space="preserve"> educators</w:t>
      </w:r>
      <w:r w:rsidR="00F62C60">
        <w:t xml:space="preserve"> for</w:t>
      </w:r>
      <w:r w:rsidR="00971E52">
        <w:t xml:space="preserve"> furlough</w:t>
      </w:r>
      <w:r w:rsidR="00F62C60">
        <w:t xml:space="preserve"> decisions</w:t>
      </w:r>
      <w:r w:rsidR="008E2153">
        <w:t>, and we have</w:t>
      </w:r>
      <w:r w:rsidR="00F62C60">
        <w:t xml:space="preserve"> opposed efforts</w:t>
      </w:r>
      <w:r w:rsidR="008E2153">
        <w:t xml:space="preserve"> to move toward evaluation-based furloughs</w:t>
      </w:r>
      <w:r w:rsidR="00F62C60">
        <w:t xml:space="preserve"> through</w:t>
      </w:r>
      <w:r w:rsidR="008A359A">
        <w:rPr>
          <w:rFonts w:ascii="Calibri" w:eastAsia="Times New Roman" w:hAnsi="Calibri" w:cs="Segoe UI"/>
          <w:color w:val="212121"/>
        </w:rPr>
        <w:t xml:space="preserve"> lobbying</w:t>
      </w:r>
      <w:r w:rsidR="00F62C60">
        <w:rPr>
          <w:rFonts w:ascii="Calibri" w:eastAsia="Times New Roman" w:hAnsi="Calibri" w:cs="Segoe UI"/>
          <w:color w:val="212121"/>
        </w:rPr>
        <w:t xml:space="preserve"> and </w:t>
      </w:r>
      <w:r w:rsidR="008A359A">
        <w:rPr>
          <w:rFonts w:ascii="Calibri" w:eastAsia="Times New Roman" w:hAnsi="Calibri" w:cs="Segoe UI"/>
          <w:color w:val="212121"/>
        </w:rPr>
        <w:t>member</w:t>
      </w:r>
      <w:r w:rsidR="00F62C60">
        <w:rPr>
          <w:rFonts w:ascii="Calibri" w:eastAsia="Times New Roman" w:hAnsi="Calibri" w:cs="Segoe UI"/>
          <w:color w:val="212121"/>
        </w:rPr>
        <w:t xml:space="preserve"> activation</w:t>
      </w:r>
      <w:r w:rsidR="008A359A">
        <w:rPr>
          <w:rFonts w:ascii="Calibri" w:eastAsia="Times New Roman" w:hAnsi="Calibri" w:cs="Segoe UI"/>
          <w:color w:val="212121"/>
        </w:rPr>
        <w:t>.</w:t>
      </w:r>
      <w:r w:rsidR="00A55A6B">
        <w:t xml:space="preserve"> </w:t>
      </w:r>
      <w:r w:rsidR="00F62C60">
        <w:rPr>
          <w:rFonts w:ascii="Calibri" w:eastAsia="Times New Roman" w:hAnsi="Calibri" w:cs="Segoe UI"/>
          <w:color w:val="212121"/>
        </w:rPr>
        <w:t xml:space="preserve">HB 178 presented a </w:t>
      </w:r>
      <w:proofErr w:type="gramStart"/>
      <w:r w:rsidR="00F62C60">
        <w:rPr>
          <w:rFonts w:ascii="Calibri" w:eastAsia="Times New Roman" w:hAnsi="Calibri" w:cs="Segoe UI"/>
          <w:color w:val="212121"/>
        </w:rPr>
        <w:t>particular challenge</w:t>
      </w:r>
      <w:proofErr w:type="gramEnd"/>
      <w:r w:rsidR="00966FAF">
        <w:rPr>
          <w:rFonts w:ascii="Calibri" w:eastAsia="Times New Roman" w:hAnsi="Calibri" w:cs="Segoe UI"/>
          <w:color w:val="212121"/>
        </w:rPr>
        <w:t>, however,</w:t>
      </w:r>
      <w:r w:rsidR="00F62C60">
        <w:rPr>
          <w:rFonts w:ascii="Calibri" w:eastAsia="Times New Roman" w:hAnsi="Calibri" w:cs="Segoe UI"/>
          <w:color w:val="212121"/>
        </w:rPr>
        <w:t xml:space="preserve"> because it tied evaluation-based furlough to</w:t>
      </w:r>
      <w:r w:rsidR="005D1493">
        <w:rPr>
          <w:rFonts w:ascii="Calibri" w:eastAsia="Times New Roman" w:hAnsi="Calibri" w:cs="Segoe UI"/>
          <w:color w:val="212121"/>
        </w:rPr>
        <w:t xml:space="preserve"> broader School Code pro</w:t>
      </w:r>
      <w:r w:rsidR="00F2712E">
        <w:rPr>
          <w:rFonts w:ascii="Calibri" w:eastAsia="Times New Roman" w:hAnsi="Calibri" w:cs="Segoe UI"/>
          <w:color w:val="212121"/>
        </w:rPr>
        <w:t xml:space="preserve">visions addressing </w:t>
      </w:r>
      <w:r w:rsidR="00F62C60">
        <w:rPr>
          <w:rFonts w:ascii="Calibri" w:eastAsia="Times New Roman" w:hAnsi="Calibri" w:cs="Segoe UI"/>
          <w:color w:val="212121"/>
        </w:rPr>
        <w:t>other badly</w:t>
      </w:r>
      <w:r w:rsidR="00E11723">
        <w:rPr>
          <w:rFonts w:ascii="Calibri" w:eastAsia="Times New Roman" w:hAnsi="Calibri" w:cs="Segoe UI"/>
          <w:color w:val="212121"/>
        </w:rPr>
        <w:t xml:space="preserve"> </w:t>
      </w:r>
      <w:r w:rsidR="00F62C60">
        <w:rPr>
          <w:rFonts w:ascii="Calibri" w:eastAsia="Times New Roman" w:hAnsi="Calibri" w:cs="Segoe UI"/>
          <w:color w:val="212121"/>
        </w:rPr>
        <w:lastRenderedPageBreak/>
        <w:t xml:space="preserve">needed reforms </w:t>
      </w:r>
      <w:r w:rsidR="00F2712E">
        <w:rPr>
          <w:rFonts w:ascii="Calibri" w:eastAsia="Times New Roman" w:hAnsi="Calibri" w:cs="Segoe UI"/>
          <w:color w:val="212121"/>
        </w:rPr>
        <w:t xml:space="preserve">and </w:t>
      </w:r>
      <w:r w:rsidR="00F62C60">
        <w:rPr>
          <w:rFonts w:ascii="Calibri" w:eastAsia="Times New Roman" w:hAnsi="Calibri" w:cs="Segoe UI"/>
          <w:color w:val="212121"/>
        </w:rPr>
        <w:t>school funding.</w:t>
      </w:r>
      <w:r w:rsidR="00F2712E">
        <w:rPr>
          <w:rFonts w:ascii="Calibri" w:eastAsia="Times New Roman" w:hAnsi="Calibri" w:cs="Segoe UI"/>
          <w:color w:val="212121"/>
        </w:rPr>
        <w:t xml:space="preserve"> This meant that a vote aga</w:t>
      </w:r>
      <w:r w:rsidR="007B7AFD">
        <w:rPr>
          <w:rFonts w:ascii="Calibri" w:eastAsia="Times New Roman" w:hAnsi="Calibri" w:cs="Segoe UI"/>
          <w:color w:val="212121"/>
        </w:rPr>
        <w:t>inst the bill</w:t>
      </w:r>
      <w:r w:rsidR="00F2712E">
        <w:rPr>
          <w:rFonts w:ascii="Calibri" w:eastAsia="Times New Roman" w:hAnsi="Calibri" w:cs="Segoe UI"/>
          <w:color w:val="212121"/>
        </w:rPr>
        <w:t xml:space="preserve"> or a veto would </w:t>
      </w:r>
      <w:r w:rsidR="00E11723">
        <w:rPr>
          <w:rFonts w:ascii="Calibri" w:eastAsia="Times New Roman" w:hAnsi="Calibri" w:cs="Segoe UI"/>
          <w:color w:val="212121"/>
        </w:rPr>
        <w:t xml:space="preserve">also </w:t>
      </w:r>
      <w:r w:rsidR="00F2712E">
        <w:rPr>
          <w:rFonts w:ascii="Calibri" w:eastAsia="Times New Roman" w:hAnsi="Calibri" w:cs="Segoe UI"/>
          <w:color w:val="212121"/>
        </w:rPr>
        <w:t xml:space="preserve">kill </w:t>
      </w:r>
      <w:r w:rsidR="00D60058">
        <w:rPr>
          <w:rFonts w:ascii="Calibri" w:eastAsia="Times New Roman" w:hAnsi="Calibri" w:cs="Segoe UI"/>
          <w:color w:val="212121"/>
        </w:rPr>
        <w:t xml:space="preserve">items such as </w:t>
      </w:r>
      <w:r w:rsidR="00F2712E">
        <w:rPr>
          <w:rFonts w:ascii="Calibri" w:eastAsia="Times New Roman" w:hAnsi="Calibri" w:cs="Segoe UI"/>
          <w:color w:val="212121"/>
        </w:rPr>
        <w:t>a</w:t>
      </w:r>
      <w:r w:rsidR="00F2712E" w:rsidRPr="006C4551">
        <w:rPr>
          <w:rFonts w:ascii="Calibri" w:eastAsia="Times New Roman" w:hAnsi="Calibri" w:cs="Segoe UI"/>
          <w:color w:val="212121"/>
        </w:rPr>
        <w:t xml:space="preserve"> school</w:t>
      </w:r>
      <w:r w:rsidR="001A3014" w:rsidRPr="001A3014">
        <w:rPr>
          <w:rFonts w:ascii="Calibri" w:eastAsia="Times New Roman" w:hAnsi="Calibri" w:cs="Segoe UI"/>
          <w:color w:val="212121"/>
        </w:rPr>
        <w:t xml:space="preserve"> </w:t>
      </w:r>
      <w:r w:rsidR="001A3014" w:rsidRPr="006C4551">
        <w:rPr>
          <w:rFonts w:ascii="Calibri" w:eastAsia="Times New Roman" w:hAnsi="Calibri" w:cs="Segoe UI"/>
          <w:color w:val="212121"/>
        </w:rPr>
        <w:t>fund</w:t>
      </w:r>
      <w:r w:rsidR="001A3014">
        <w:rPr>
          <w:rFonts w:ascii="Calibri" w:eastAsia="Times New Roman" w:hAnsi="Calibri" w:cs="Segoe UI"/>
          <w:color w:val="212121"/>
        </w:rPr>
        <w:t>ing mechanism</w:t>
      </w:r>
      <w:r w:rsidR="00F2712E">
        <w:rPr>
          <w:rFonts w:ascii="Calibri" w:eastAsia="Times New Roman" w:hAnsi="Calibri" w:cs="Segoe UI"/>
          <w:color w:val="212121"/>
        </w:rPr>
        <w:t>,</w:t>
      </w:r>
      <w:r w:rsidR="001A3014">
        <w:rPr>
          <w:rFonts w:ascii="Calibri" w:eastAsia="Times New Roman" w:hAnsi="Calibri" w:cs="Segoe UI"/>
          <w:color w:val="212121"/>
        </w:rPr>
        <w:t xml:space="preserve"> </w:t>
      </w:r>
      <w:r w:rsidR="00F2712E">
        <w:rPr>
          <w:rFonts w:ascii="Calibri" w:eastAsia="Times New Roman" w:hAnsi="Calibri" w:cs="Segoe UI"/>
          <w:color w:val="212121"/>
        </w:rPr>
        <w:t>mandatory school board training, opioid abuse education,</w:t>
      </w:r>
      <w:r w:rsidR="00F2712E" w:rsidRPr="006C4551">
        <w:rPr>
          <w:rFonts w:ascii="Calibri" w:eastAsia="Times New Roman" w:hAnsi="Calibri" w:cs="Segoe UI"/>
          <w:color w:val="212121"/>
        </w:rPr>
        <w:t xml:space="preserve"> a delay in the </w:t>
      </w:r>
      <w:r w:rsidR="00F2712E">
        <w:rPr>
          <w:rFonts w:ascii="Calibri" w:eastAsia="Times New Roman" w:hAnsi="Calibri" w:cs="Segoe UI"/>
          <w:color w:val="212121"/>
        </w:rPr>
        <w:t>use of the Keystone Exams as a graduation requirement</w:t>
      </w:r>
      <w:r w:rsidR="00F2712E" w:rsidRPr="006C4551">
        <w:rPr>
          <w:rFonts w:ascii="Calibri" w:eastAsia="Times New Roman" w:hAnsi="Calibri" w:cs="Segoe UI"/>
          <w:color w:val="212121"/>
        </w:rPr>
        <w:t xml:space="preserve">, </w:t>
      </w:r>
      <w:r w:rsidR="00D60058">
        <w:rPr>
          <w:rFonts w:ascii="Calibri" w:eastAsia="Times New Roman" w:hAnsi="Calibri" w:cs="Segoe UI"/>
          <w:color w:val="212121"/>
        </w:rPr>
        <w:t xml:space="preserve">and </w:t>
      </w:r>
      <w:r w:rsidR="00F2712E">
        <w:rPr>
          <w:rFonts w:ascii="Calibri" w:eastAsia="Times New Roman" w:hAnsi="Calibri" w:cs="Segoe UI"/>
          <w:color w:val="212121"/>
        </w:rPr>
        <w:t xml:space="preserve">$14 million </w:t>
      </w:r>
      <w:r w:rsidR="001A3014">
        <w:rPr>
          <w:rFonts w:ascii="Calibri" w:eastAsia="Times New Roman" w:hAnsi="Calibri" w:cs="Segoe UI"/>
          <w:color w:val="212121"/>
        </w:rPr>
        <w:t xml:space="preserve">of </w:t>
      </w:r>
      <w:r w:rsidR="00F2712E">
        <w:rPr>
          <w:rFonts w:ascii="Calibri" w:eastAsia="Times New Roman" w:hAnsi="Calibri" w:cs="Segoe UI"/>
          <w:color w:val="212121"/>
        </w:rPr>
        <w:t xml:space="preserve">support </w:t>
      </w:r>
      <w:r w:rsidR="001A3014">
        <w:rPr>
          <w:rFonts w:ascii="Calibri" w:eastAsia="Times New Roman" w:hAnsi="Calibri" w:cs="Segoe UI"/>
          <w:color w:val="212121"/>
        </w:rPr>
        <w:t xml:space="preserve">to </w:t>
      </w:r>
      <w:r w:rsidR="00F2712E">
        <w:rPr>
          <w:rFonts w:ascii="Calibri" w:eastAsia="Times New Roman" w:hAnsi="Calibri" w:cs="Segoe UI"/>
          <w:color w:val="212121"/>
        </w:rPr>
        <w:t>public schools in Erie.</w:t>
      </w:r>
      <w:r w:rsidR="008E2153">
        <w:rPr>
          <w:rFonts w:ascii="Calibri" w:eastAsia="Times New Roman" w:hAnsi="Calibri" w:cs="Segoe UI"/>
          <w:color w:val="212121"/>
        </w:rPr>
        <w:t xml:space="preserve"> </w:t>
      </w:r>
      <w:r w:rsidR="00F2712E">
        <w:rPr>
          <w:rFonts w:ascii="Calibri" w:eastAsia="Times New Roman" w:hAnsi="Calibri" w:cs="Segoe UI"/>
          <w:color w:val="212121"/>
        </w:rPr>
        <w:t>Tying furlough changes to other legislative priorities in HB 178</w:t>
      </w:r>
      <w:r w:rsidR="00F62C60">
        <w:rPr>
          <w:rFonts w:ascii="Calibri" w:eastAsia="Times New Roman" w:hAnsi="Calibri" w:cs="Segoe UI"/>
          <w:color w:val="212121"/>
        </w:rPr>
        <w:t xml:space="preserve"> meant that some legislators </w:t>
      </w:r>
      <w:r w:rsidR="001A3014">
        <w:rPr>
          <w:rFonts w:ascii="Calibri" w:eastAsia="Times New Roman" w:hAnsi="Calibri" w:cs="Segoe UI"/>
          <w:color w:val="212121"/>
        </w:rPr>
        <w:t>voted for the bill in support of these other reforms even though they were not inclined to support this change in furloughs</w:t>
      </w:r>
      <w:r w:rsidR="00F62C60">
        <w:rPr>
          <w:rFonts w:ascii="Calibri" w:eastAsia="Times New Roman" w:hAnsi="Calibri" w:cs="Segoe UI"/>
          <w:color w:val="212121"/>
        </w:rPr>
        <w:t xml:space="preserve">. </w:t>
      </w:r>
    </w:p>
    <w:p w14:paraId="2E078715" w14:textId="77777777" w:rsidR="00C4070D" w:rsidRDefault="00C4070D" w:rsidP="00494A2C">
      <w:pPr>
        <w:shd w:val="clear" w:color="auto" w:fill="FFFFFF"/>
        <w:spacing w:after="0" w:line="240" w:lineRule="auto"/>
        <w:rPr>
          <w:rFonts w:ascii="Calibri" w:eastAsia="Times New Roman" w:hAnsi="Calibri" w:cs="Segoe UI"/>
          <w:color w:val="212121"/>
        </w:rPr>
      </w:pPr>
    </w:p>
    <w:p w14:paraId="71D5FEC7" w14:textId="77777777" w:rsidR="00501033" w:rsidRPr="00F62C60" w:rsidRDefault="00F62C60" w:rsidP="00494A2C">
      <w:pPr>
        <w:shd w:val="clear" w:color="auto" w:fill="FFFFFF"/>
        <w:spacing w:after="0" w:line="240" w:lineRule="auto"/>
        <w:rPr>
          <w:rFonts w:ascii="Calibri" w:eastAsia="Times New Roman" w:hAnsi="Calibri" w:cs="Segoe UI"/>
          <w:color w:val="212121"/>
        </w:rPr>
      </w:pPr>
      <w:r>
        <w:rPr>
          <w:rFonts w:ascii="Calibri" w:eastAsia="Times New Roman" w:hAnsi="Calibri" w:cs="Segoe UI"/>
          <w:color w:val="212121"/>
        </w:rPr>
        <w:t>Recognizing that HB 178 stood a good chance at passing</w:t>
      </w:r>
      <w:r w:rsidR="00214A6A">
        <w:rPr>
          <w:rFonts w:ascii="Calibri" w:eastAsia="Times New Roman" w:hAnsi="Calibri" w:cs="Segoe UI"/>
          <w:color w:val="212121"/>
        </w:rPr>
        <w:t xml:space="preserve"> into law</w:t>
      </w:r>
      <w:r>
        <w:rPr>
          <w:rFonts w:ascii="Calibri" w:eastAsia="Times New Roman" w:hAnsi="Calibri" w:cs="Segoe UI"/>
          <w:color w:val="212121"/>
        </w:rPr>
        <w:t>, PSEA continued to strongly oppose the bill while simultaneously working</w:t>
      </w:r>
      <w:r w:rsidR="008E2153">
        <w:rPr>
          <w:rFonts w:ascii="Calibri" w:eastAsia="Times New Roman" w:hAnsi="Calibri" w:cs="Segoe UI"/>
          <w:color w:val="212121"/>
        </w:rPr>
        <w:t xml:space="preserve"> with allies to soften its </w:t>
      </w:r>
      <w:r w:rsidR="007B7AFD">
        <w:rPr>
          <w:rFonts w:ascii="Calibri" w:eastAsia="Times New Roman" w:hAnsi="Calibri" w:cs="Segoe UI"/>
          <w:color w:val="212121"/>
        </w:rPr>
        <w:t xml:space="preserve">potential </w:t>
      </w:r>
      <w:r w:rsidR="008E2153">
        <w:rPr>
          <w:rFonts w:ascii="Calibri" w:eastAsia="Times New Roman" w:hAnsi="Calibri" w:cs="Segoe UI"/>
          <w:color w:val="212121"/>
        </w:rPr>
        <w:t>impact</w:t>
      </w:r>
      <w:r w:rsidR="008A359A">
        <w:rPr>
          <w:rFonts w:ascii="Calibri" w:eastAsia="Times New Roman" w:hAnsi="Calibri" w:cs="Segoe UI"/>
          <w:color w:val="212121"/>
        </w:rPr>
        <w:t>. T</w:t>
      </w:r>
      <w:r w:rsidR="00971E52">
        <w:rPr>
          <w:rFonts w:ascii="Calibri" w:eastAsia="Times New Roman" w:hAnsi="Calibri" w:cs="Segoe UI"/>
          <w:color w:val="212121"/>
        </w:rPr>
        <w:t xml:space="preserve">housands of PSEA members, </w:t>
      </w:r>
      <w:r w:rsidR="00971E52" w:rsidRPr="006C4551">
        <w:rPr>
          <w:rFonts w:ascii="Calibri" w:eastAsia="Times New Roman" w:hAnsi="Calibri" w:cs="Segoe UI"/>
          <w:color w:val="212121"/>
        </w:rPr>
        <w:t>pro-public education lawmakers</w:t>
      </w:r>
      <w:r w:rsidR="00971E52">
        <w:rPr>
          <w:rFonts w:ascii="Calibri" w:eastAsia="Times New Roman" w:hAnsi="Calibri" w:cs="Segoe UI"/>
          <w:color w:val="212121"/>
        </w:rPr>
        <w:t>, and Gov</w:t>
      </w:r>
      <w:r w:rsidR="00E11723">
        <w:rPr>
          <w:rFonts w:ascii="Calibri" w:eastAsia="Times New Roman" w:hAnsi="Calibri" w:cs="Segoe UI"/>
          <w:color w:val="212121"/>
        </w:rPr>
        <w:t>.</w:t>
      </w:r>
      <w:r w:rsidR="00971E52">
        <w:rPr>
          <w:rFonts w:ascii="Calibri" w:eastAsia="Times New Roman" w:hAnsi="Calibri" w:cs="Segoe UI"/>
          <w:color w:val="212121"/>
        </w:rPr>
        <w:t xml:space="preserve"> </w:t>
      </w:r>
      <w:r w:rsidR="00944EBF">
        <w:rPr>
          <w:rFonts w:ascii="Calibri" w:eastAsia="Times New Roman" w:hAnsi="Calibri" w:cs="Segoe UI"/>
          <w:color w:val="212121"/>
        </w:rPr>
        <w:t xml:space="preserve">Tom </w:t>
      </w:r>
      <w:r w:rsidR="00971E52">
        <w:rPr>
          <w:rFonts w:ascii="Calibri" w:eastAsia="Times New Roman" w:hAnsi="Calibri" w:cs="Segoe UI"/>
          <w:color w:val="212121"/>
        </w:rPr>
        <w:t xml:space="preserve">Wolf advocated for </w:t>
      </w:r>
      <w:r w:rsidR="00971E52" w:rsidRPr="006C4551">
        <w:rPr>
          <w:rFonts w:ascii="Calibri" w:eastAsia="Times New Roman" w:hAnsi="Calibri" w:cs="Segoe UI"/>
          <w:color w:val="212121"/>
        </w:rPr>
        <w:t xml:space="preserve">important protections </w:t>
      </w:r>
      <w:r w:rsidR="00971E52">
        <w:rPr>
          <w:rFonts w:ascii="Calibri" w:eastAsia="Times New Roman" w:hAnsi="Calibri" w:cs="Segoe UI"/>
          <w:color w:val="212121"/>
        </w:rPr>
        <w:t xml:space="preserve">for educators </w:t>
      </w:r>
      <w:r w:rsidR="00971E52" w:rsidRPr="006C4551">
        <w:rPr>
          <w:rFonts w:ascii="Calibri" w:eastAsia="Times New Roman" w:hAnsi="Calibri" w:cs="Segoe UI"/>
          <w:color w:val="212121"/>
        </w:rPr>
        <w:t>i</w:t>
      </w:r>
      <w:r w:rsidR="00971E52">
        <w:rPr>
          <w:rFonts w:ascii="Calibri" w:eastAsia="Times New Roman" w:hAnsi="Calibri" w:cs="Segoe UI"/>
          <w:color w:val="212121"/>
        </w:rPr>
        <w:t>n the bill before its passage</w:t>
      </w:r>
      <w:r w:rsidR="00971E52" w:rsidRPr="006C4551">
        <w:rPr>
          <w:rFonts w:ascii="Calibri" w:eastAsia="Times New Roman" w:hAnsi="Calibri" w:cs="Segoe UI"/>
          <w:color w:val="212121"/>
        </w:rPr>
        <w:t>.</w:t>
      </w:r>
      <w:r w:rsidR="00971E52">
        <w:rPr>
          <w:rFonts w:ascii="Segoe UI" w:eastAsia="Times New Roman" w:hAnsi="Segoe UI" w:cs="Segoe UI"/>
          <w:color w:val="212121"/>
          <w:sz w:val="27"/>
          <w:szCs w:val="27"/>
        </w:rPr>
        <w:t xml:space="preserve"> </w:t>
      </w:r>
    </w:p>
    <w:p w14:paraId="399C0371" w14:textId="77777777" w:rsidR="007B7AFD" w:rsidRPr="00627578" w:rsidRDefault="007B7AFD" w:rsidP="00494A2C">
      <w:pPr>
        <w:shd w:val="clear" w:color="auto" w:fill="FFFFFF"/>
        <w:spacing w:after="0" w:line="240" w:lineRule="auto"/>
        <w:rPr>
          <w:rFonts w:eastAsia="Times New Roman" w:cs="Segoe UI"/>
          <w:color w:val="212121"/>
        </w:rPr>
      </w:pPr>
    </w:p>
    <w:p w14:paraId="313CD64D" w14:textId="77777777" w:rsidR="007B7AFD" w:rsidRPr="00DD4616" w:rsidRDefault="00501033" w:rsidP="00494A2C">
      <w:pPr>
        <w:shd w:val="clear" w:color="auto" w:fill="FFFFFF"/>
        <w:spacing w:after="0" w:line="240" w:lineRule="auto"/>
        <w:rPr>
          <w:rFonts w:eastAsia="Times New Roman" w:cs="Segoe UI"/>
          <w:b/>
          <w:color w:val="212121"/>
          <w:sz w:val="28"/>
        </w:rPr>
      </w:pPr>
      <w:r w:rsidRPr="00494A2C">
        <w:rPr>
          <w:rFonts w:eastAsia="Times New Roman" w:cs="Segoe UI"/>
          <w:b/>
          <w:color w:val="212121"/>
          <w:sz w:val="28"/>
        </w:rPr>
        <w:t xml:space="preserve">Protections </w:t>
      </w:r>
      <w:r w:rsidR="00C4070D">
        <w:rPr>
          <w:rFonts w:eastAsia="Times New Roman" w:cs="Segoe UI"/>
          <w:b/>
          <w:color w:val="212121"/>
          <w:sz w:val="28"/>
        </w:rPr>
        <w:t>Negotiated into</w:t>
      </w:r>
      <w:r w:rsidR="00494A2C" w:rsidRPr="00494A2C">
        <w:rPr>
          <w:rFonts w:eastAsia="Times New Roman" w:cs="Segoe UI"/>
          <w:b/>
          <w:color w:val="212121"/>
          <w:sz w:val="28"/>
        </w:rPr>
        <w:t xml:space="preserve"> the New Law</w:t>
      </w:r>
    </w:p>
    <w:p w14:paraId="05F6100F" w14:textId="77777777" w:rsidR="00627578" w:rsidRDefault="00214A6A" w:rsidP="00494A2C">
      <w:pPr>
        <w:shd w:val="clear" w:color="auto" w:fill="FFFFFF"/>
        <w:spacing w:after="0" w:line="240" w:lineRule="auto"/>
        <w:rPr>
          <w:rFonts w:eastAsia="Times New Roman" w:cs="Segoe UI"/>
          <w:color w:val="212121"/>
        </w:rPr>
      </w:pPr>
      <w:r>
        <w:rPr>
          <w:rFonts w:eastAsia="Times New Roman" w:cs="Segoe UI"/>
          <w:color w:val="212121"/>
        </w:rPr>
        <w:t>PSEA opposes</w:t>
      </w:r>
      <w:r w:rsidR="005D1493">
        <w:rPr>
          <w:rFonts w:eastAsia="Times New Roman" w:cs="Segoe UI"/>
          <w:color w:val="212121"/>
        </w:rPr>
        <w:t xml:space="preserve"> t</w:t>
      </w:r>
      <w:r w:rsidR="00627578">
        <w:rPr>
          <w:rFonts w:eastAsia="Times New Roman" w:cs="Segoe UI"/>
          <w:color w:val="212121"/>
        </w:rPr>
        <w:t>he new furl</w:t>
      </w:r>
      <w:r w:rsidR="005D1493">
        <w:rPr>
          <w:rFonts w:eastAsia="Times New Roman" w:cs="Segoe UI"/>
          <w:color w:val="212121"/>
        </w:rPr>
        <w:t>ough law</w:t>
      </w:r>
      <w:r w:rsidR="00627578">
        <w:rPr>
          <w:rFonts w:eastAsia="Times New Roman" w:cs="Segoe UI"/>
          <w:color w:val="212121"/>
        </w:rPr>
        <w:t xml:space="preserve"> because it uses evaluat</w:t>
      </w:r>
      <w:r w:rsidR="00CE6652">
        <w:rPr>
          <w:rFonts w:eastAsia="Times New Roman" w:cs="Segoe UI"/>
          <w:color w:val="212121"/>
        </w:rPr>
        <w:t xml:space="preserve">ion data that was never designed </w:t>
      </w:r>
      <w:r w:rsidR="00627578">
        <w:rPr>
          <w:rFonts w:eastAsia="Times New Roman" w:cs="Segoe UI"/>
          <w:color w:val="212121"/>
        </w:rPr>
        <w:t>to rank teachers</w:t>
      </w:r>
      <w:r w:rsidR="00CE6652">
        <w:rPr>
          <w:rFonts w:eastAsia="Times New Roman" w:cs="Segoe UI"/>
          <w:color w:val="212121"/>
        </w:rPr>
        <w:t xml:space="preserve"> </w:t>
      </w:r>
      <w:r w:rsidR="00627578">
        <w:rPr>
          <w:rFonts w:eastAsia="Times New Roman" w:cs="Segoe UI"/>
          <w:color w:val="212121"/>
        </w:rPr>
        <w:t xml:space="preserve">for </w:t>
      </w:r>
      <w:r w:rsidR="005F4DDC">
        <w:rPr>
          <w:rFonts w:eastAsia="Times New Roman" w:cs="Segoe UI"/>
          <w:color w:val="212121"/>
        </w:rPr>
        <w:t xml:space="preserve">any purpose, including </w:t>
      </w:r>
      <w:r w:rsidR="00627578">
        <w:rPr>
          <w:rFonts w:eastAsia="Times New Roman" w:cs="Segoe UI"/>
          <w:color w:val="212121"/>
        </w:rPr>
        <w:t>furlo</w:t>
      </w:r>
      <w:r w:rsidR="00CE6652">
        <w:rPr>
          <w:rFonts w:eastAsia="Times New Roman" w:cs="Segoe UI"/>
          <w:color w:val="212121"/>
        </w:rPr>
        <w:t>ug</w:t>
      </w:r>
      <w:r w:rsidR="00627578">
        <w:rPr>
          <w:rFonts w:eastAsia="Times New Roman" w:cs="Segoe UI"/>
          <w:color w:val="212121"/>
        </w:rPr>
        <w:t>h. However, the l</w:t>
      </w:r>
      <w:r w:rsidR="00CC75D0">
        <w:rPr>
          <w:rFonts w:eastAsia="Times New Roman" w:cs="Segoe UI"/>
          <w:color w:val="212121"/>
        </w:rPr>
        <w:t>egislation</w:t>
      </w:r>
      <w:r w:rsidR="005D1493">
        <w:rPr>
          <w:rFonts w:eastAsia="Times New Roman" w:cs="Segoe UI"/>
          <w:color w:val="212121"/>
        </w:rPr>
        <w:t xml:space="preserve"> does include </w:t>
      </w:r>
      <w:r w:rsidR="004B73AA">
        <w:rPr>
          <w:rFonts w:eastAsia="Times New Roman" w:cs="Segoe UI"/>
          <w:color w:val="212121"/>
        </w:rPr>
        <w:t xml:space="preserve">some </w:t>
      </w:r>
      <w:r w:rsidR="00627578">
        <w:rPr>
          <w:rFonts w:eastAsia="Times New Roman" w:cs="Segoe UI"/>
          <w:color w:val="212121"/>
        </w:rPr>
        <w:t>p</w:t>
      </w:r>
      <w:r w:rsidR="005D1493">
        <w:rPr>
          <w:rFonts w:eastAsia="Times New Roman" w:cs="Segoe UI"/>
          <w:color w:val="212121"/>
        </w:rPr>
        <w:t xml:space="preserve">rotections to help mitigate its </w:t>
      </w:r>
      <w:r w:rsidR="00627578">
        <w:rPr>
          <w:rFonts w:eastAsia="Times New Roman" w:cs="Segoe UI"/>
          <w:color w:val="212121"/>
        </w:rPr>
        <w:t xml:space="preserve">impact. </w:t>
      </w:r>
    </w:p>
    <w:p w14:paraId="4BD2B8E2" w14:textId="77777777" w:rsidR="00CD1C43" w:rsidRDefault="00CD1C43" w:rsidP="00494A2C">
      <w:pPr>
        <w:shd w:val="clear" w:color="auto" w:fill="FFFFFF"/>
        <w:spacing w:after="0" w:line="240" w:lineRule="auto"/>
        <w:rPr>
          <w:rFonts w:eastAsia="Times New Roman" w:cs="Segoe UI"/>
          <w:color w:val="212121"/>
        </w:rPr>
      </w:pPr>
    </w:p>
    <w:p w14:paraId="6E0BA119" w14:textId="77777777" w:rsidR="00627578" w:rsidRDefault="00627578" w:rsidP="00494A2C">
      <w:pPr>
        <w:shd w:val="clear" w:color="auto" w:fill="FFFFFF"/>
        <w:spacing w:after="0" w:line="240" w:lineRule="auto"/>
        <w:rPr>
          <w:rFonts w:eastAsia="Times New Roman" w:cs="Segoe UI"/>
          <w:color w:val="212121"/>
        </w:rPr>
      </w:pPr>
      <w:r>
        <w:rPr>
          <w:rFonts w:eastAsia="Times New Roman" w:cs="Segoe UI"/>
          <w:color w:val="212121"/>
        </w:rPr>
        <w:t xml:space="preserve">First, the four categories </w:t>
      </w:r>
      <w:r w:rsidR="00CE6652">
        <w:rPr>
          <w:rFonts w:eastAsia="Times New Roman" w:cs="Segoe UI"/>
          <w:color w:val="212121"/>
        </w:rPr>
        <w:t xml:space="preserve">defined by the law </w:t>
      </w:r>
      <w:r w:rsidR="005F4DDC">
        <w:rPr>
          <w:rFonts w:eastAsia="Times New Roman" w:cs="Segoe UI"/>
          <w:color w:val="212121"/>
        </w:rPr>
        <w:t xml:space="preserve">were </w:t>
      </w:r>
      <w:r w:rsidR="00CE6652">
        <w:rPr>
          <w:rFonts w:eastAsia="Times New Roman" w:cs="Segoe UI"/>
          <w:color w:val="212121"/>
        </w:rPr>
        <w:t>constructed so that a</w:t>
      </w:r>
      <w:r>
        <w:rPr>
          <w:rFonts w:eastAsia="Times New Roman" w:cs="Segoe UI"/>
          <w:color w:val="212121"/>
        </w:rPr>
        <w:t xml:space="preserve"> </w:t>
      </w:r>
      <w:r w:rsidR="00CE6652">
        <w:rPr>
          <w:rFonts w:eastAsia="Times New Roman" w:cs="Segoe UI"/>
          <w:color w:val="212121"/>
        </w:rPr>
        <w:t xml:space="preserve">substantial </w:t>
      </w:r>
      <w:r>
        <w:rPr>
          <w:rFonts w:eastAsia="Times New Roman" w:cs="Segoe UI"/>
          <w:color w:val="212121"/>
        </w:rPr>
        <w:t>majority of professional employees fit into one category</w:t>
      </w:r>
      <w:r w:rsidR="00CE6652">
        <w:rPr>
          <w:rFonts w:eastAsia="Times New Roman" w:cs="Segoe UI"/>
          <w:color w:val="212121"/>
        </w:rPr>
        <w:t xml:space="preserve"> (Category 3)</w:t>
      </w:r>
      <w:r w:rsidR="005F4DDC">
        <w:rPr>
          <w:rFonts w:eastAsia="Times New Roman" w:cs="Segoe UI"/>
          <w:color w:val="212121"/>
        </w:rPr>
        <w:t>, as mentioned above</w:t>
      </w:r>
      <w:r>
        <w:rPr>
          <w:rFonts w:eastAsia="Times New Roman" w:cs="Segoe UI"/>
          <w:color w:val="212121"/>
        </w:rPr>
        <w:t xml:space="preserve">. Within this category, furlough decisions are based upon seniority and certification area. This means that </w:t>
      </w:r>
      <w:r w:rsidRPr="00CC75D0">
        <w:rPr>
          <w:rFonts w:eastAsia="Times New Roman" w:cs="Segoe UI"/>
          <w:b/>
          <w:color w:val="212121"/>
        </w:rPr>
        <w:t xml:space="preserve">for </w:t>
      </w:r>
      <w:r w:rsidR="00214A6A">
        <w:rPr>
          <w:rFonts w:eastAsia="Times New Roman" w:cs="Segoe UI"/>
          <w:b/>
          <w:color w:val="212121"/>
        </w:rPr>
        <w:t xml:space="preserve">the vast majority of </w:t>
      </w:r>
      <w:r w:rsidRPr="00CC75D0">
        <w:rPr>
          <w:rFonts w:eastAsia="Times New Roman" w:cs="Segoe UI"/>
          <w:b/>
          <w:color w:val="212121"/>
        </w:rPr>
        <w:t xml:space="preserve">professional employees the primary furlough criteria </w:t>
      </w:r>
      <w:r w:rsidR="007B7AFD">
        <w:rPr>
          <w:rFonts w:eastAsia="Times New Roman" w:cs="Segoe UI"/>
          <w:b/>
          <w:color w:val="212121"/>
        </w:rPr>
        <w:t>will be</w:t>
      </w:r>
      <w:r w:rsidRPr="00CC75D0">
        <w:rPr>
          <w:rFonts w:eastAsia="Times New Roman" w:cs="Segoe UI"/>
          <w:b/>
          <w:color w:val="212121"/>
        </w:rPr>
        <w:t xml:space="preserve"> seniority</w:t>
      </w:r>
      <w:r w:rsidR="007B7AFD">
        <w:rPr>
          <w:rFonts w:eastAsia="Times New Roman" w:cs="Segoe UI"/>
          <w:b/>
          <w:color w:val="212121"/>
        </w:rPr>
        <w:t xml:space="preserve"> within the employee’s certificated area of work</w:t>
      </w:r>
      <w:r w:rsidRPr="00CC75D0">
        <w:rPr>
          <w:rFonts w:eastAsia="Times New Roman" w:cs="Segoe UI"/>
          <w:b/>
          <w:color w:val="212121"/>
        </w:rPr>
        <w:t>.</w:t>
      </w:r>
      <w:r>
        <w:rPr>
          <w:rFonts w:eastAsia="Times New Roman" w:cs="Segoe UI"/>
          <w:color w:val="212121"/>
        </w:rPr>
        <w:t xml:space="preserve"> </w:t>
      </w:r>
    </w:p>
    <w:p w14:paraId="4F30249B" w14:textId="77777777" w:rsidR="00627578" w:rsidRDefault="00627578" w:rsidP="00494A2C">
      <w:pPr>
        <w:shd w:val="clear" w:color="auto" w:fill="FFFFFF"/>
        <w:spacing w:after="0" w:line="240" w:lineRule="auto"/>
        <w:rPr>
          <w:rFonts w:eastAsia="Times New Roman" w:cs="Segoe UI"/>
          <w:color w:val="212121"/>
        </w:rPr>
      </w:pPr>
    </w:p>
    <w:p w14:paraId="04F93723" w14:textId="77777777" w:rsidR="00157307" w:rsidRDefault="00627578" w:rsidP="00494A2C">
      <w:pPr>
        <w:shd w:val="clear" w:color="auto" w:fill="FFFFFF"/>
        <w:spacing w:after="0" w:line="240" w:lineRule="auto"/>
        <w:rPr>
          <w:rFonts w:eastAsia="Times New Roman" w:cs="Segoe UI"/>
          <w:color w:val="212121"/>
        </w:rPr>
      </w:pPr>
      <w:r>
        <w:rPr>
          <w:rFonts w:eastAsia="Times New Roman" w:cs="Segoe UI"/>
          <w:color w:val="212121"/>
        </w:rPr>
        <w:t>Second,</w:t>
      </w:r>
      <w:r w:rsidR="004B73AA">
        <w:rPr>
          <w:rFonts w:eastAsia="Times New Roman" w:cs="Segoe UI"/>
          <w:color w:val="212121"/>
        </w:rPr>
        <w:t xml:space="preserve"> if the furlough is based upon economic need,</w:t>
      </w:r>
      <w:r w:rsidR="004B73AA" w:rsidRPr="004B73AA">
        <w:rPr>
          <w:rStyle w:val="FootnoteReference"/>
          <w:rFonts w:eastAsia="Times New Roman" w:cs="Segoe UI"/>
          <w:color w:val="212121"/>
        </w:rPr>
        <w:t xml:space="preserve"> </w:t>
      </w:r>
      <w:r w:rsidR="004B73AA">
        <w:rPr>
          <w:rStyle w:val="FootnoteReference"/>
          <w:rFonts w:eastAsia="Times New Roman" w:cs="Segoe UI"/>
          <w:color w:val="212121"/>
        </w:rPr>
        <w:footnoteReference w:id="2"/>
      </w:r>
      <w:r w:rsidR="004B73AA">
        <w:rPr>
          <w:rFonts w:eastAsia="Times New Roman" w:cs="Segoe UI"/>
          <w:color w:val="212121"/>
        </w:rPr>
        <w:t xml:space="preserve"> a school district is required to </w:t>
      </w:r>
      <w:r w:rsidR="00157307">
        <w:rPr>
          <w:rFonts w:eastAsia="Times New Roman" w:cs="Segoe UI"/>
          <w:color w:val="212121"/>
        </w:rPr>
        <w:t xml:space="preserve">adopt a resolution stating its </w:t>
      </w:r>
      <w:r w:rsidR="00971E52" w:rsidRPr="006C4551">
        <w:rPr>
          <w:rFonts w:eastAsia="Times New Roman" w:cs="Segoe UI"/>
          <w:color w:val="212121"/>
        </w:rPr>
        <w:t>intention to furlough 60 days prior to th</w:t>
      </w:r>
      <w:r w:rsidR="00157307">
        <w:rPr>
          <w:rFonts w:eastAsia="Times New Roman" w:cs="Segoe UI"/>
          <w:color w:val="212121"/>
        </w:rPr>
        <w:t>e final passage of its budget.</w:t>
      </w:r>
      <w:r w:rsidR="00B26026">
        <w:rPr>
          <w:rFonts w:eastAsia="Times New Roman" w:cs="Segoe UI"/>
          <w:color w:val="212121"/>
        </w:rPr>
        <w:t xml:space="preserve"> The</w:t>
      </w:r>
      <w:r w:rsidR="00971E52" w:rsidRPr="00627578">
        <w:rPr>
          <w:rFonts w:eastAsia="Times New Roman" w:cs="Segoe UI"/>
          <w:color w:val="212121"/>
        </w:rPr>
        <w:t xml:space="preserve"> district </w:t>
      </w:r>
      <w:r w:rsidR="00157307">
        <w:rPr>
          <w:rFonts w:eastAsia="Times New Roman" w:cs="Segoe UI"/>
          <w:color w:val="212121"/>
        </w:rPr>
        <w:t xml:space="preserve">also </w:t>
      </w:r>
      <w:r w:rsidR="00971E52" w:rsidRPr="00627578">
        <w:rPr>
          <w:rFonts w:eastAsia="Times New Roman" w:cs="Segoe UI"/>
          <w:color w:val="212121"/>
        </w:rPr>
        <w:t xml:space="preserve">must </w:t>
      </w:r>
      <w:r w:rsidR="00971E52" w:rsidRPr="006C4551">
        <w:rPr>
          <w:rFonts w:eastAsia="Times New Roman" w:cs="Segoe UI"/>
          <w:color w:val="212121"/>
        </w:rPr>
        <w:t>hold a p</w:t>
      </w:r>
      <w:r w:rsidR="00B26026">
        <w:rPr>
          <w:rFonts w:eastAsia="Times New Roman" w:cs="Segoe UI"/>
          <w:color w:val="212121"/>
        </w:rPr>
        <w:t>ublic meeting in which it</w:t>
      </w:r>
      <w:r w:rsidR="00157307">
        <w:rPr>
          <w:rFonts w:eastAsia="Times New Roman" w:cs="Segoe UI"/>
          <w:color w:val="212121"/>
        </w:rPr>
        <w:t xml:space="preserve"> provide</w:t>
      </w:r>
      <w:r w:rsidR="00B26026">
        <w:rPr>
          <w:rFonts w:eastAsia="Times New Roman" w:cs="Segoe UI"/>
          <w:color w:val="212121"/>
        </w:rPr>
        <w:t>s</w:t>
      </w:r>
      <w:r w:rsidR="00157307">
        <w:rPr>
          <w:rFonts w:eastAsia="Times New Roman" w:cs="Segoe UI"/>
          <w:color w:val="212121"/>
        </w:rPr>
        <w:t xml:space="preserve"> information to the public in several areas:</w:t>
      </w:r>
    </w:p>
    <w:p w14:paraId="67C4F19C" w14:textId="77777777" w:rsidR="00426787" w:rsidRDefault="00426787" w:rsidP="00494A2C">
      <w:pPr>
        <w:shd w:val="clear" w:color="auto" w:fill="FFFFFF"/>
        <w:spacing w:after="0" w:line="240" w:lineRule="auto"/>
        <w:rPr>
          <w:rFonts w:eastAsia="Times New Roman" w:cs="Segoe UI"/>
          <w:color w:val="212121"/>
        </w:rPr>
      </w:pPr>
    </w:p>
    <w:p w14:paraId="0975DAD9" w14:textId="77777777" w:rsidR="00426787" w:rsidRPr="00426787" w:rsidRDefault="00157307" w:rsidP="00426787">
      <w:pPr>
        <w:pStyle w:val="ListParagraph"/>
        <w:numPr>
          <w:ilvl w:val="0"/>
          <w:numId w:val="1"/>
        </w:numPr>
        <w:shd w:val="clear" w:color="auto" w:fill="FFFFFF"/>
        <w:spacing w:after="0" w:line="240" w:lineRule="auto"/>
        <w:rPr>
          <w:rFonts w:eastAsia="Times New Roman" w:cs="Segoe UI"/>
          <w:color w:val="212121"/>
        </w:rPr>
      </w:pPr>
      <w:r>
        <w:rPr>
          <w:rFonts w:eastAsia="Times New Roman" w:cs="Segoe UI"/>
          <w:color w:val="212121"/>
        </w:rPr>
        <w:t>The r</w:t>
      </w:r>
      <w:r w:rsidRPr="00157307">
        <w:rPr>
          <w:rFonts w:eastAsia="Times New Roman" w:cs="Segoe UI"/>
          <w:color w:val="212121"/>
        </w:rPr>
        <w:t>easo</w:t>
      </w:r>
      <w:r>
        <w:rPr>
          <w:rFonts w:eastAsia="Times New Roman" w:cs="Segoe UI"/>
          <w:color w:val="212121"/>
        </w:rPr>
        <w:t>ns that furloughs are necessary</w:t>
      </w:r>
    </w:p>
    <w:p w14:paraId="09595CE6" w14:textId="77777777" w:rsidR="00157307" w:rsidRDefault="00157307" w:rsidP="00157307">
      <w:pPr>
        <w:pStyle w:val="ListParagraph"/>
        <w:numPr>
          <w:ilvl w:val="0"/>
          <w:numId w:val="1"/>
        </w:numPr>
        <w:shd w:val="clear" w:color="auto" w:fill="FFFFFF"/>
        <w:spacing w:after="0" w:line="240" w:lineRule="auto"/>
        <w:rPr>
          <w:rFonts w:eastAsia="Times New Roman" w:cs="Segoe UI"/>
          <w:color w:val="212121"/>
        </w:rPr>
      </w:pPr>
      <w:r>
        <w:rPr>
          <w:rFonts w:eastAsia="Times New Roman" w:cs="Segoe UI"/>
          <w:color w:val="212121"/>
        </w:rPr>
        <w:t xml:space="preserve">The </w:t>
      </w:r>
      <w:r w:rsidR="00971E52" w:rsidRPr="00157307">
        <w:rPr>
          <w:rFonts w:eastAsia="Times New Roman" w:cs="Segoe UI"/>
          <w:color w:val="212121"/>
        </w:rPr>
        <w:t>total cost savings</w:t>
      </w:r>
      <w:r>
        <w:rPr>
          <w:rFonts w:eastAsia="Times New Roman" w:cs="Segoe UI"/>
          <w:color w:val="212121"/>
        </w:rPr>
        <w:t xml:space="preserve"> of the</w:t>
      </w:r>
      <w:r w:rsidRPr="00157307">
        <w:rPr>
          <w:rFonts w:eastAsia="Times New Roman" w:cs="Segoe UI"/>
          <w:color w:val="212121"/>
        </w:rPr>
        <w:t xml:space="preserve"> furloughs and other cost</w:t>
      </w:r>
      <w:r w:rsidR="00E11723">
        <w:rPr>
          <w:rFonts w:eastAsia="Times New Roman" w:cs="Segoe UI"/>
          <w:color w:val="212121"/>
        </w:rPr>
        <w:t>-</w:t>
      </w:r>
      <w:r w:rsidRPr="00157307">
        <w:rPr>
          <w:rFonts w:eastAsia="Times New Roman" w:cs="Segoe UI"/>
          <w:color w:val="212121"/>
        </w:rPr>
        <w:t>saving measures being employed</w:t>
      </w:r>
    </w:p>
    <w:p w14:paraId="444DA185" w14:textId="77777777" w:rsidR="00F2712E" w:rsidRPr="00F2712E" w:rsidRDefault="00157307" w:rsidP="00F2712E">
      <w:pPr>
        <w:pStyle w:val="ListParagraph"/>
        <w:numPr>
          <w:ilvl w:val="0"/>
          <w:numId w:val="1"/>
        </w:numPr>
        <w:shd w:val="clear" w:color="auto" w:fill="FFFFFF"/>
        <w:spacing w:after="0" w:line="240" w:lineRule="auto"/>
        <w:rPr>
          <w:rFonts w:eastAsia="Times New Roman" w:cs="Segoe UI"/>
          <w:color w:val="212121"/>
        </w:rPr>
      </w:pPr>
      <w:r>
        <w:rPr>
          <w:rFonts w:eastAsia="Times New Roman" w:cs="Segoe UI"/>
          <w:color w:val="212121"/>
        </w:rPr>
        <w:t>T</w:t>
      </w:r>
      <w:r w:rsidR="00F2712E">
        <w:rPr>
          <w:rFonts w:eastAsia="Times New Roman" w:cs="Segoe UI"/>
          <w:color w:val="212121"/>
        </w:rPr>
        <w:t xml:space="preserve">he </w:t>
      </w:r>
      <w:r w:rsidR="00971E52" w:rsidRPr="00157307">
        <w:rPr>
          <w:rFonts w:eastAsia="Times New Roman" w:cs="Segoe UI"/>
          <w:color w:val="212121"/>
        </w:rPr>
        <w:t>number</w:t>
      </w:r>
      <w:r w:rsidR="00F2712E">
        <w:rPr>
          <w:rFonts w:eastAsia="Times New Roman" w:cs="Segoe UI"/>
          <w:color w:val="212121"/>
        </w:rPr>
        <w:t xml:space="preserve"> and percent</w:t>
      </w:r>
      <w:r w:rsidR="00971E52" w:rsidRPr="00157307">
        <w:rPr>
          <w:rFonts w:eastAsia="Times New Roman" w:cs="Segoe UI"/>
          <w:color w:val="212121"/>
        </w:rPr>
        <w:t xml:space="preserve"> of educators and </w:t>
      </w:r>
      <w:r>
        <w:rPr>
          <w:rFonts w:eastAsia="Times New Roman" w:cs="Segoe UI"/>
          <w:color w:val="212121"/>
        </w:rPr>
        <w:t>administrators to be furloughed</w:t>
      </w:r>
      <w:r w:rsidR="00F2712E">
        <w:rPr>
          <w:rFonts w:eastAsia="Times New Roman" w:cs="Segoe UI"/>
          <w:color w:val="212121"/>
        </w:rPr>
        <w:t>,</w:t>
      </w:r>
      <w:r w:rsidR="00F2712E" w:rsidRPr="00F2712E">
        <w:rPr>
          <w:rStyle w:val="FootnoteReference"/>
        </w:rPr>
        <w:t xml:space="preserve"> </w:t>
      </w:r>
      <w:r w:rsidR="00971E52" w:rsidRPr="00157307">
        <w:rPr>
          <w:rFonts w:ascii="Calibri" w:eastAsia="Times New Roman" w:hAnsi="Calibri" w:cs="Segoe UI"/>
          <w:color w:val="212121"/>
        </w:rPr>
        <w:t>the impact of those furloughs on academic programs</w:t>
      </w:r>
      <w:r w:rsidR="00F2712E">
        <w:rPr>
          <w:rFonts w:ascii="Calibri" w:eastAsia="Times New Roman" w:hAnsi="Calibri" w:cs="Segoe UI"/>
          <w:color w:val="212121"/>
        </w:rPr>
        <w:t>, and how the impact will be mitigated</w:t>
      </w:r>
    </w:p>
    <w:p w14:paraId="713A4D78" w14:textId="77777777" w:rsidR="00F2712E" w:rsidRPr="00F2712E" w:rsidRDefault="00F2712E" w:rsidP="00F2712E">
      <w:pPr>
        <w:pStyle w:val="ListParagraph"/>
        <w:numPr>
          <w:ilvl w:val="0"/>
          <w:numId w:val="1"/>
        </w:numPr>
        <w:shd w:val="clear" w:color="auto" w:fill="FFFFFF"/>
        <w:spacing w:after="0" w:line="240" w:lineRule="auto"/>
        <w:rPr>
          <w:rFonts w:eastAsia="Times New Roman" w:cs="Segoe UI"/>
          <w:color w:val="212121"/>
        </w:rPr>
      </w:pPr>
      <w:r w:rsidRPr="00F2712E">
        <w:rPr>
          <w:rFonts w:ascii="Calibri" w:eastAsia="Times New Roman" w:hAnsi="Calibri" w:cs="Segoe UI"/>
          <w:color w:val="212121"/>
        </w:rPr>
        <w:t>Projected expenditures for the following year with and without furloughs, and</w:t>
      </w:r>
    </w:p>
    <w:p w14:paraId="64BAF2D9" w14:textId="77777777" w:rsidR="00F2712E" w:rsidRPr="007B7AFD" w:rsidRDefault="00F2712E" w:rsidP="00157307">
      <w:pPr>
        <w:pStyle w:val="ListParagraph"/>
        <w:numPr>
          <w:ilvl w:val="0"/>
          <w:numId w:val="1"/>
        </w:numPr>
        <w:shd w:val="clear" w:color="auto" w:fill="FFFFFF"/>
        <w:spacing w:after="0" w:line="240" w:lineRule="auto"/>
        <w:rPr>
          <w:rFonts w:eastAsia="Times New Roman" w:cs="Segoe UI"/>
          <w:color w:val="212121"/>
        </w:rPr>
      </w:pPr>
      <w:r>
        <w:rPr>
          <w:rFonts w:ascii="Calibri" w:eastAsia="Times New Roman" w:hAnsi="Calibri" w:cs="Segoe UI"/>
          <w:color w:val="212121"/>
        </w:rPr>
        <w:t>Projected revenues for the next fiscal year</w:t>
      </w:r>
    </w:p>
    <w:p w14:paraId="73034B37" w14:textId="77777777" w:rsidR="007B7AFD" w:rsidRPr="00F2712E" w:rsidRDefault="007B7AFD" w:rsidP="007B7AFD">
      <w:pPr>
        <w:pStyle w:val="ListParagraph"/>
        <w:shd w:val="clear" w:color="auto" w:fill="FFFFFF"/>
        <w:spacing w:after="0" w:line="240" w:lineRule="auto"/>
        <w:ind w:left="768"/>
        <w:rPr>
          <w:rFonts w:eastAsia="Times New Roman" w:cs="Segoe UI"/>
          <w:color w:val="212121"/>
        </w:rPr>
      </w:pPr>
    </w:p>
    <w:p w14:paraId="60697BC2" w14:textId="77777777" w:rsidR="00627578" w:rsidRDefault="00CE6652" w:rsidP="00F2712E">
      <w:pPr>
        <w:shd w:val="clear" w:color="auto" w:fill="FFFFFF"/>
        <w:spacing w:after="0" w:line="240" w:lineRule="auto"/>
        <w:rPr>
          <w:rFonts w:ascii="Calibri" w:eastAsia="Times New Roman" w:hAnsi="Calibri" w:cs="Segoe UI"/>
          <w:color w:val="212121"/>
        </w:rPr>
      </w:pPr>
      <w:r w:rsidRPr="00F2712E">
        <w:rPr>
          <w:rFonts w:ascii="Calibri" w:eastAsia="Times New Roman" w:hAnsi="Calibri" w:cs="Segoe UI"/>
          <w:color w:val="212121"/>
        </w:rPr>
        <w:t xml:space="preserve">This </w:t>
      </w:r>
      <w:r w:rsidR="00F2712E" w:rsidRPr="00F2712E">
        <w:rPr>
          <w:rFonts w:ascii="Calibri" w:eastAsia="Times New Roman" w:hAnsi="Calibri" w:cs="Segoe UI"/>
          <w:color w:val="212121"/>
        </w:rPr>
        <w:t xml:space="preserve">public </w:t>
      </w:r>
      <w:r w:rsidRPr="00F2712E">
        <w:rPr>
          <w:rFonts w:ascii="Calibri" w:eastAsia="Times New Roman" w:hAnsi="Calibri" w:cs="Segoe UI"/>
          <w:color w:val="212121"/>
        </w:rPr>
        <w:t xml:space="preserve">meeting potentially provides </w:t>
      </w:r>
      <w:r w:rsidRPr="00CC75D0">
        <w:rPr>
          <w:rFonts w:ascii="Calibri" w:eastAsia="Times New Roman" w:hAnsi="Calibri" w:cs="Segoe UI"/>
          <w:b/>
          <w:color w:val="212121"/>
        </w:rPr>
        <w:t xml:space="preserve">an important venue for PSEA members to advocate for </w:t>
      </w:r>
      <w:r w:rsidR="007B7AFD">
        <w:rPr>
          <w:rFonts w:ascii="Calibri" w:eastAsia="Times New Roman" w:hAnsi="Calibri" w:cs="Segoe UI"/>
          <w:b/>
          <w:color w:val="212121"/>
        </w:rPr>
        <w:t>critical</w:t>
      </w:r>
      <w:r w:rsidR="00B648EB">
        <w:rPr>
          <w:rFonts w:ascii="Calibri" w:eastAsia="Times New Roman" w:hAnsi="Calibri" w:cs="Segoe UI"/>
          <w:b/>
          <w:color w:val="212121"/>
        </w:rPr>
        <w:t xml:space="preserve"> </w:t>
      </w:r>
      <w:r w:rsidRPr="00CC75D0">
        <w:rPr>
          <w:rFonts w:ascii="Calibri" w:eastAsia="Times New Roman" w:hAnsi="Calibri" w:cs="Segoe UI"/>
          <w:b/>
          <w:color w:val="212121"/>
        </w:rPr>
        <w:t>programs and staff positions to the school community</w:t>
      </w:r>
      <w:r w:rsidRPr="00F2712E">
        <w:rPr>
          <w:rFonts w:ascii="Calibri" w:eastAsia="Times New Roman" w:hAnsi="Calibri" w:cs="Segoe UI"/>
          <w:color w:val="212121"/>
        </w:rPr>
        <w:t>.</w:t>
      </w:r>
    </w:p>
    <w:p w14:paraId="49BDA834" w14:textId="77777777" w:rsidR="00C4070D" w:rsidRDefault="00C4070D" w:rsidP="00F2712E">
      <w:pPr>
        <w:shd w:val="clear" w:color="auto" w:fill="FFFFFF"/>
        <w:spacing w:after="0" w:line="240" w:lineRule="auto"/>
        <w:rPr>
          <w:rFonts w:eastAsia="Times New Roman" w:cs="Segoe UI"/>
          <w:color w:val="212121"/>
        </w:rPr>
      </w:pPr>
    </w:p>
    <w:p w14:paraId="0BEAADDB" w14:textId="77777777" w:rsidR="00B26026" w:rsidRDefault="00B26026" w:rsidP="00B26026">
      <w:pPr>
        <w:shd w:val="clear" w:color="auto" w:fill="FFFFFF"/>
        <w:spacing w:after="0" w:line="240" w:lineRule="auto"/>
      </w:pPr>
      <w:r>
        <w:t>Third, the law requires districts to furlough an equal percentage of teaching and administrative staff. Five district administrative positions are exempt from this requirement. A school district</w:t>
      </w:r>
      <w:r w:rsidR="00214A6A">
        <w:t xml:space="preserve"> can apply for a waiver from the Pennsylvania Department of Education (PDE)</w:t>
      </w:r>
      <w:r>
        <w:t xml:space="preserve"> and the State Board to furlough fewer administrative positions if the district can demonstrate that its operations are already streamlined or that additional administrative furloughs would harm stability and programs.</w:t>
      </w:r>
    </w:p>
    <w:p w14:paraId="451C71AA" w14:textId="77777777" w:rsidR="00B26026" w:rsidRPr="00F2712E" w:rsidRDefault="00B26026" w:rsidP="00F2712E">
      <w:pPr>
        <w:shd w:val="clear" w:color="auto" w:fill="FFFFFF"/>
        <w:spacing w:after="0" w:line="240" w:lineRule="auto"/>
        <w:rPr>
          <w:rFonts w:eastAsia="Times New Roman" w:cs="Segoe UI"/>
          <w:color w:val="212121"/>
        </w:rPr>
      </w:pPr>
    </w:p>
    <w:p w14:paraId="6F416F0E" w14:textId="2D76F4D7" w:rsidR="00971E52" w:rsidRPr="007B7AFD" w:rsidRDefault="00836AA8" w:rsidP="00494A2C">
      <w:pPr>
        <w:shd w:val="clear" w:color="auto" w:fill="FFFFFF"/>
        <w:spacing w:after="0" w:line="240" w:lineRule="auto"/>
        <w:rPr>
          <w:rFonts w:ascii="Segoe UI" w:eastAsia="Times New Roman" w:hAnsi="Segoe UI" w:cs="Segoe UI"/>
          <w:color w:val="212121"/>
        </w:rPr>
      </w:pPr>
      <w:r w:rsidRPr="00836AA8">
        <w:rPr>
          <w:rFonts w:cstheme="minorHAnsi"/>
          <w:b/>
          <w:noProof/>
          <w:sz w:val="28"/>
          <w:szCs w:val="28"/>
        </w:rPr>
        <w:lastRenderedPageBreak/>
        <mc:AlternateContent>
          <mc:Choice Requires="wps">
            <w:drawing>
              <wp:anchor distT="45720" distB="45720" distL="114300" distR="114300" simplePos="0" relativeHeight="251669504" behindDoc="0" locked="0" layoutInCell="1" allowOverlap="1" wp14:anchorId="194F6448" wp14:editId="7D1D53BE">
                <wp:simplePos x="0" y="0"/>
                <wp:positionH relativeFrom="column">
                  <wp:posOffset>-61557</wp:posOffset>
                </wp:positionH>
                <wp:positionV relativeFrom="paragraph">
                  <wp:posOffset>723199</wp:posOffset>
                </wp:positionV>
                <wp:extent cx="6625590" cy="1404620"/>
                <wp:effectExtent l="19050" t="1905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404620"/>
                        </a:xfrm>
                        <a:prstGeom prst="rect">
                          <a:avLst/>
                        </a:prstGeom>
                        <a:solidFill>
                          <a:schemeClr val="accent1">
                            <a:lumMod val="20000"/>
                            <a:lumOff val="80000"/>
                          </a:schemeClr>
                        </a:solidFill>
                        <a:ln w="38100">
                          <a:solidFill>
                            <a:srgbClr val="000000"/>
                          </a:solidFill>
                          <a:miter lim="800000"/>
                          <a:headEnd/>
                          <a:tailEnd/>
                        </a:ln>
                      </wps:spPr>
                      <wps:txbx>
                        <w:txbxContent>
                          <w:p w14:paraId="3549BF0B" w14:textId="3AFE6036" w:rsidR="00836AA8" w:rsidRPr="002465BC" w:rsidRDefault="00836AA8" w:rsidP="0043417C">
                            <w:pPr>
                              <w:spacing w:after="0" w:line="240" w:lineRule="auto"/>
                              <w:jc w:val="center"/>
                              <w:rPr>
                                <w:rFonts w:cstheme="minorHAnsi"/>
                                <w:b/>
                                <w:sz w:val="28"/>
                                <w:szCs w:val="28"/>
                              </w:rPr>
                            </w:pPr>
                            <w:r w:rsidRPr="002465BC">
                              <w:rPr>
                                <w:rFonts w:cstheme="minorHAnsi"/>
                                <w:b/>
                                <w:sz w:val="28"/>
                                <w:szCs w:val="28"/>
                              </w:rPr>
                              <w:t xml:space="preserve">Changes to the Law </w:t>
                            </w:r>
                            <w:r w:rsidR="001518F0">
                              <w:rPr>
                                <w:rFonts w:cstheme="minorHAnsi"/>
                                <w:b/>
                                <w:sz w:val="28"/>
                                <w:szCs w:val="28"/>
                              </w:rPr>
                              <w:t>v</w:t>
                            </w:r>
                            <w:r w:rsidRPr="002465BC">
                              <w:rPr>
                                <w:rFonts w:cstheme="minorHAnsi"/>
                                <w:b/>
                                <w:sz w:val="28"/>
                                <w:szCs w:val="28"/>
                              </w:rPr>
                              <w:t xml:space="preserve">ia </w:t>
                            </w:r>
                            <w:r w:rsidRPr="002465BC">
                              <w:rPr>
                                <w:rFonts w:cstheme="minorHAnsi"/>
                                <w:b/>
                                <w:sz w:val="28"/>
                                <w:szCs w:val="28"/>
                                <w:u w:val="single"/>
                              </w:rPr>
                              <w:t>HB 1448 – Omnibus School Code Bill</w:t>
                            </w:r>
                          </w:p>
                          <w:p w14:paraId="0E1F4C63" w14:textId="700C738B" w:rsidR="00836AA8" w:rsidRPr="001518F0" w:rsidRDefault="00836AA8" w:rsidP="0043417C">
                            <w:pPr>
                              <w:spacing w:after="0" w:line="240" w:lineRule="auto"/>
                            </w:pPr>
                            <w:r w:rsidRPr="0043417C">
                              <w:rPr>
                                <w:rFonts w:cs="Times New Roman"/>
                              </w:rPr>
                              <w:t>HB 1448, effective July 1, 2018, amends Act 55 related to furloughs of professional employe</w:t>
                            </w:r>
                            <w:r w:rsidR="0043417C">
                              <w:rPr>
                                <w:rFonts w:cs="Times New Roman"/>
                              </w:rPr>
                              <w:t>e</w:t>
                            </w:r>
                            <w:r w:rsidRPr="0043417C">
                              <w:rPr>
                                <w:rFonts w:cs="Times New Roman"/>
                              </w:rPr>
                              <w:t>s to require a school entity to realign its professional staff to provide more senior employ</w:t>
                            </w:r>
                            <w:r w:rsidR="0043417C">
                              <w:rPr>
                                <w:rFonts w:cs="Times New Roman"/>
                              </w:rPr>
                              <w:t>e</w:t>
                            </w:r>
                            <w:r w:rsidRPr="0043417C">
                              <w:rPr>
                                <w:rFonts w:cs="Times New Roman"/>
                              </w:rPr>
                              <w:t>es the opportunity to fill any positions in the school entity for which they are certificated and which are being filled by less senior employe</w:t>
                            </w:r>
                            <w:r w:rsidR="0043417C">
                              <w:rPr>
                                <w:rFonts w:cs="Times New Roman"/>
                              </w:rPr>
                              <w:t>e</w:t>
                            </w:r>
                            <w:r w:rsidRPr="0043417C">
                              <w:rPr>
                                <w:rFonts w:cs="Times New Roman"/>
                              </w:rPr>
                              <w:t xml:space="preserve">s, subject to the order of suspension set forth in Section 1125.1 of the School Code.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4F6448" id="_x0000_s1030" type="#_x0000_t202" style="position:absolute;margin-left:-4.85pt;margin-top:56.95pt;width:521.7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" fillcolor="#d9e2f3 [660]" strokeweight="3pt">
                <v:textbox style="mso-fit-shape-to-text:t">
                  <w:txbxContent>
                    <w:p w14:paraId="3549BF0B" w14:textId="3AFE6036" w:rsidR="00836AA8" w:rsidRPr="002465BC" w:rsidRDefault="00836AA8" w:rsidP="0043417C">
                      <w:pPr>
                        <w:spacing w:after="0" w:line="240" w:lineRule="auto"/>
                        <w:jc w:val="center"/>
                        <w:rPr>
                          <w:rFonts w:cstheme="minorHAnsi"/>
                          <w:b/>
                          <w:sz w:val="28"/>
                          <w:szCs w:val="28"/>
                        </w:rPr>
                      </w:pPr>
                      <w:r w:rsidRPr="002465BC">
                        <w:rPr>
                          <w:rFonts w:cstheme="minorHAnsi"/>
                          <w:b/>
                          <w:sz w:val="28"/>
                          <w:szCs w:val="28"/>
                        </w:rPr>
                        <w:t xml:space="preserve">Changes to the Law </w:t>
                      </w:r>
                      <w:r w:rsidR="001518F0">
                        <w:rPr>
                          <w:rFonts w:cstheme="minorHAnsi"/>
                          <w:b/>
                          <w:sz w:val="28"/>
                          <w:szCs w:val="28"/>
                        </w:rPr>
                        <w:t>v</w:t>
                      </w:r>
                      <w:r w:rsidRPr="002465BC">
                        <w:rPr>
                          <w:rFonts w:cstheme="minorHAnsi"/>
                          <w:b/>
                          <w:sz w:val="28"/>
                          <w:szCs w:val="28"/>
                        </w:rPr>
                        <w:t xml:space="preserve">ia </w:t>
                      </w:r>
                      <w:r w:rsidRPr="002465BC">
                        <w:rPr>
                          <w:rFonts w:cstheme="minorHAnsi"/>
                          <w:b/>
                          <w:sz w:val="28"/>
                          <w:szCs w:val="28"/>
                          <w:u w:val="single"/>
                        </w:rPr>
                        <w:t>HB 1448 – Omnibus School Code Bill</w:t>
                      </w:r>
                    </w:p>
                    <w:p w14:paraId="0E1F4C63" w14:textId="700C738B" w:rsidR="00836AA8" w:rsidRPr="001518F0" w:rsidRDefault="00836AA8" w:rsidP="0043417C">
                      <w:pPr>
                        <w:spacing w:after="0" w:line="240" w:lineRule="auto"/>
                      </w:pPr>
                      <w:r w:rsidRPr="0043417C">
                        <w:rPr>
                          <w:rFonts w:cs="Times New Roman"/>
                        </w:rPr>
                        <w:t>HB 1448, effective July 1, 2018, amends Act 55 related to furloughs of professional employe</w:t>
                      </w:r>
                      <w:r w:rsidR="0043417C">
                        <w:rPr>
                          <w:rFonts w:cs="Times New Roman"/>
                        </w:rPr>
                        <w:t>e</w:t>
                      </w:r>
                      <w:r w:rsidRPr="0043417C">
                        <w:rPr>
                          <w:rFonts w:cs="Times New Roman"/>
                        </w:rPr>
                        <w:t>s to require a school entity to realign its professional staff to provide more senior employ</w:t>
                      </w:r>
                      <w:r w:rsidR="0043417C">
                        <w:rPr>
                          <w:rFonts w:cs="Times New Roman"/>
                        </w:rPr>
                        <w:t>e</w:t>
                      </w:r>
                      <w:r w:rsidRPr="0043417C">
                        <w:rPr>
                          <w:rFonts w:cs="Times New Roman"/>
                        </w:rPr>
                        <w:t>es the opportunity to fill any positions in the school entity for which they are certificated and which are being filled by less senior employe</w:t>
                      </w:r>
                      <w:r w:rsidR="0043417C">
                        <w:rPr>
                          <w:rFonts w:cs="Times New Roman"/>
                        </w:rPr>
                        <w:t>e</w:t>
                      </w:r>
                      <w:r w:rsidRPr="0043417C">
                        <w:rPr>
                          <w:rFonts w:cs="Times New Roman"/>
                        </w:rPr>
                        <w:t xml:space="preserve">s, subject to the order of suspension set forth in Section 1125.1 of the School Code. </w:t>
                      </w:r>
                    </w:p>
                  </w:txbxContent>
                </v:textbox>
                <w10:wrap type="square"/>
              </v:shape>
            </w:pict>
          </mc:Fallback>
        </mc:AlternateContent>
      </w:r>
      <w:r w:rsidR="00627578">
        <w:rPr>
          <w:rFonts w:ascii="Calibri" w:eastAsia="Times New Roman" w:hAnsi="Calibri" w:cs="Segoe UI"/>
          <w:color w:val="212121"/>
        </w:rPr>
        <w:t>Finally</w:t>
      </w:r>
      <w:r w:rsidR="00971E52" w:rsidRPr="006C4551">
        <w:rPr>
          <w:rFonts w:ascii="Calibri" w:eastAsia="Times New Roman" w:hAnsi="Calibri" w:cs="Segoe UI"/>
          <w:color w:val="212121"/>
        </w:rPr>
        <w:t xml:space="preserve">, the legislation makes it illegal to target educators based on their </w:t>
      </w:r>
      <w:r w:rsidR="00971E52">
        <w:rPr>
          <w:rFonts w:ascii="Calibri" w:eastAsia="Times New Roman" w:hAnsi="Calibri" w:cs="Segoe UI"/>
          <w:color w:val="212121"/>
        </w:rPr>
        <w:t>years of experience or salary</w:t>
      </w:r>
      <w:r w:rsidR="00971E52" w:rsidRPr="006C4551">
        <w:rPr>
          <w:rFonts w:ascii="Calibri" w:eastAsia="Times New Roman" w:hAnsi="Calibri" w:cs="Segoe UI"/>
          <w:color w:val="212121"/>
        </w:rPr>
        <w:t>.</w:t>
      </w:r>
      <w:r w:rsidR="00971E52">
        <w:rPr>
          <w:rFonts w:ascii="Calibri" w:eastAsia="Times New Roman" w:hAnsi="Calibri" w:cs="Segoe UI"/>
          <w:color w:val="212121"/>
        </w:rPr>
        <w:t xml:space="preserve"> </w:t>
      </w:r>
      <w:r w:rsidR="00971E52" w:rsidRPr="000C0D3D">
        <w:rPr>
          <w:rFonts w:ascii="Calibri" w:eastAsia="Times New Roman" w:hAnsi="Calibri" w:cs="Segoe UI"/>
          <w:b/>
          <w:color w:val="212121"/>
        </w:rPr>
        <w:t xml:space="preserve">School officials </w:t>
      </w:r>
      <w:r w:rsidR="00971E52" w:rsidRPr="007B7AFD">
        <w:rPr>
          <w:rFonts w:ascii="Calibri" w:eastAsia="Times New Roman" w:hAnsi="Calibri" w:cs="Segoe UI"/>
          <w:b/>
          <w:color w:val="212121"/>
        </w:rPr>
        <w:t xml:space="preserve">who target </w:t>
      </w:r>
      <w:r w:rsidR="00F2712E" w:rsidRPr="007B7AFD">
        <w:rPr>
          <w:rFonts w:ascii="Calibri" w:eastAsia="Times New Roman" w:hAnsi="Calibri" w:cs="Segoe UI"/>
          <w:b/>
          <w:color w:val="212121"/>
        </w:rPr>
        <w:t xml:space="preserve">educators </w:t>
      </w:r>
      <w:r w:rsidR="00971E52" w:rsidRPr="007B7AFD">
        <w:rPr>
          <w:rFonts w:ascii="Calibri" w:eastAsia="Times New Roman" w:hAnsi="Calibri" w:cs="Segoe UI"/>
          <w:b/>
          <w:color w:val="212121"/>
        </w:rPr>
        <w:t xml:space="preserve">will be </w:t>
      </w:r>
      <w:r w:rsidR="00F2712E" w:rsidRPr="007B7AFD">
        <w:rPr>
          <w:rFonts w:ascii="Calibri" w:eastAsia="Times New Roman" w:hAnsi="Calibri" w:cs="Segoe UI"/>
          <w:b/>
          <w:color w:val="212121"/>
        </w:rPr>
        <w:t>subject to discipline</w:t>
      </w:r>
      <w:r w:rsidR="00971E52" w:rsidRPr="007B7AFD">
        <w:rPr>
          <w:rFonts w:ascii="Calibri" w:eastAsia="Times New Roman" w:hAnsi="Calibri" w:cs="Segoe UI"/>
          <w:color w:val="212121"/>
        </w:rPr>
        <w:t xml:space="preserve"> b</w:t>
      </w:r>
      <w:r w:rsidR="00214A6A">
        <w:rPr>
          <w:rFonts w:ascii="Calibri" w:eastAsia="Times New Roman" w:hAnsi="Calibri" w:cs="Segoe UI"/>
          <w:color w:val="212121"/>
        </w:rPr>
        <w:t>y PDE</w:t>
      </w:r>
      <w:r w:rsidR="00971E52" w:rsidRPr="007B7AFD">
        <w:rPr>
          <w:rFonts w:ascii="Calibri" w:eastAsia="Times New Roman" w:hAnsi="Calibri" w:cs="Segoe UI"/>
          <w:color w:val="212121"/>
        </w:rPr>
        <w:t>.</w:t>
      </w:r>
      <w:r w:rsidR="00CE6652" w:rsidRPr="007B7AFD">
        <w:rPr>
          <w:rFonts w:ascii="Calibri" w:eastAsia="Times New Roman" w:hAnsi="Calibri" w:cs="Segoe UI"/>
          <w:color w:val="212121"/>
        </w:rPr>
        <w:t xml:space="preserve"> PSEA intends to vigorously defend members who may be illegally targeted for furlough because of years of experience or salary. </w:t>
      </w:r>
    </w:p>
    <w:p w14:paraId="3C4E664B" w14:textId="737FE40F" w:rsidR="007B7AFD" w:rsidRPr="007B7AFD" w:rsidRDefault="007B7AFD" w:rsidP="00494A2C">
      <w:pPr>
        <w:shd w:val="clear" w:color="auto" w:fill="FFFFFF"/>
        <w:spacing w:after="0" w:line="240" w:lineRule="auto"/>
        <w:rPr>
          <w:rFonts w:ascii="Segoe UI" w:eastAsia="Times New Roman" w:hAnsi="Segoe UI" w:cs="Segoe UI"/>
          <w:color w:val="212121"/>
        </w:rPr>
      </w:pPr>
    </w:p>
    <w:p w14:paraId="26B72EFA" w14:textId="13711A5B" w:rsidR="007B7AFD" w:rsidRPr="007B7AFD" w:rsidRDefault="00782964" w:rsidP="00494A2C">
      <w:pPr>
        <w:spacing w:after="0" w:line="240" w:lineRule="auto"/>
        <w:rPr>
          <w:b/>
          <w:sz w:val="28"/>
          <w:szCs w:val="28"/>
        </w:rPr>
      </w:pPr>
      <w:r w:rsidRPr="007B7AFD">
        <w:rPr>
          <w:b/>
          <w:sz w:val="28"/>
          <w:szCs w:val="28"/>
        </w:rPr>
        <w:t>Implementation: Issues to Monitor</w:t>
      </w:r>
    </w:p>
    <w:p w14:paraId="5C91FD97" w14:textId="21531D29" w:rsidR="00A91FEC" w:rsidRPr="007B7AFD" w:rsidRDefault="00214A6A" w:rsidP="00494A2C">
      <w:pPr>
        <w:spacing w:after="0" w:line="240" w:lineRule="auto"/>
      </w:pPr>
      <w:r>
        <w:t>Act 55 of 2017</w:t>
      </w:r>
      <w:r w:rsidR="00A91FEC" w:rsidRPr="007B7AFD">
        <w:t xml:space="preserve"> raises several</w:t>
      </w:r>
      <w:r w:rsidR="00B26026">
        <w:t xml:space="preserve"> additional</w:t>
      </w:r>
      <w:r w:rsidR="00A91FEC" w:rsidRPr="007B7AFD">
        <w:t xml:space="preserve"> questions and concerns</w:t>
      </w:r>
      <w:r w:rsidR="00782964" w:rsidRPr="007B7AFD">
        <w:t xml:space="preserve"> that require careful monitoring and potential intervention during implementation</w:t>
      </w:r>
      <w:r w:rsidR="00A91FEC" w:rsidRPr="007B7AFD">
        <w:t>. Key am</w:t>
      </w:r>
      <w:r w:rsidR="00E623C3">
        <w:t>ong them are the following four</w:t>
      </w:r>
      <w:r w:rsidR="00A91FEC" w:rsidRPr="007B7AFD">
        <w:t>.</w:t>
      </w:r>
    </w:p>
    <w:p w14:paraId="67BA82B6" w14:textId="4F2736AB" w:rsidR="00D60058" w:rsidRDefault="00D60058" w:rsidP="00D60058">
      <w:pPr>
        <w:spacing w:after="0" w:line="240" w:lineRule="auto"/>
      </w:pPr>
    </w:p>
    <w:p w14:paraId="79357FCB" w14:textId="2A8336FE" w:rsidR="00B26026" w:rsidRDefault="00B26026" w:rsidP="00B26026">
      <w:pPr>
        <w:spacing w:after="0" w:line="240" w:lineRule="auto"/>
      </w:pPr>
      <w:r w:rsidRPr="00CB5876">
        <w:rPr>
          <w:b/>
          <w:i/>
        </w:rPr>
        <w:t>Ensuring Proper Application of the Law</w:t>
      </w:r>
      <w:r>
        <w:rPr>
          <w:b/>
        </w:rPr>
        <w:t xml:space="preserve">. </w:t>
      </w:r>
      <w:r>
        <w:t>Local associations facing furloughs will need to ensure that the furloughs are:  1) legally justified; and 2) conducted in the appropriate order. As in the past, local associations will need to request documentation regarding the employer’s purported reasons for furlough and should monitor the district’s compliance with the new notice provisions applicable to economic furlo</w:t>
      </w:r>
      <w:r w:rsidR="0009435A">
        <w:t>ughs. The local association</w:t>
      </w:r>
      <w:r>
        <w:t xml:space="preserve"> also </w:t>
      </w:r>
      <w:r w:rsidR="0009435A">
        <w:t xml:space="preserve">must </w:t>
      </w:r>
      <w:r>
        <w:t xml:space="preserve">request </w:t>
      </w:r>
      <w:proofErr w:type="gramStart"/>
      <w:r>
        <w:t>sufficient</w:t>
      </w:r>
      <w:proofErr w:type="gramEnd"/>
      <w:r>
        <w:t xml:space="preserve"> information to review the order of furlough, including information about seniority and evaluations for affected educators. </w:t>
      </w:r>
    </w:p>
    <w:p w14:paraId="14747C5F" w14:textId="31686BCB" w:rsidR="00E623C3" w:rsidRPr="007B7AFD" w:rsidRDefault="00E623C3" w:rsidP="00494A2C">
      <w:pPr>
        <w:spacing w:after="0" w:line="240" w:lineRule="auto"/>
      </w:pPr>
    </w:p>
    <w:p w14:paraId="53D3F219" w14:textId="0F29FF3E" w:rsidR="00494A2C" w:rsidRPr="007B7AFD" w:rsidRDefault="00494A2C" w:rsidP="00494A2C">
      <w:pPr>
        <w:spacing w:after="0" w:line="240" w:lineRule="auto"/>
      </w:pPr>
      <w:r w:rsidRPr="007B7AFD">
        <w:rPr>
          <w:b/>
          <w:i/>
        </w:rPr>
        <w:t>Misus</w:t>
      </w:r>
      <w:r w:rsidR="00624642" w:rsidRPr="007B7AFD">
        <w:rPr>
          <w:b/>
          <w:i/>
        </w:rPr>
        <w:t xml:space="preserve">ing </w:t>
      </w:r>
      <w:r w:rsidRPr="007B7AFD">
        <w:rPr>
          <w:b/>
          <w:i/>
        </w:rPr>
        <w:t>the Evaluation System.</w:t>
      </w:r>
      <w:r w:rsidR="00C84C9C">
        <w:rPr>
          <w:b/>
          <w:i/>
        </w:rPr>
        <w:t xml:space="preserve"> </w:t>
      </w:r>
      <w:r w:rsidR="00627578" w:rsidRPr="007B7AFD">
        <w:t xml:space="preserve">Pennsylvania’s educator evaluation system </w:t>
      </w:r>
      <w:r w:rsidR="00C84C9C">
        <w:t>was neither designed nor validated</w:t>
      </w:r>
      <w:r w:rsidR="00627578" w:rsidRPr="007B7AFD">
        <w:t xml:space="preserve"> for ranking employees</w:t>
      </w:r>
      <w:r w:rsidR="009133B6">
        <w:t xml:space="preserve"> for the purposes of furlough</w:t>
      </w:r>
      <w:r w:rsidR="00627578" w:rsidRPr="007B7AFD">
        <w:t xml:space="preserve">. </w:t>
      </w:r>
      <w:r w:rsidRPr="007B7AFD">
        <w:t>Score d</w:t>
      </w:r>
      <w:r w:rsidR="00627578" w:rsidRPr="007B7AFD">
        <w:t>ifferences</w:t>
      </w:r>
      <w:r w:rsidRPr="007B7AFD">
        <w:t xml:space="preserve"> that determine whether an educator attains one rating</w:t>
      </w:r>
      <w:r w:rsidR="00627578" w:rsidRPr="007B7AFD">
        <w:t xml:space="preserve"> or another may be as small as </w:t>
      </w:r>
      <w:r w:rsidRPr="007B7AFD">
        <w:t xml:space="preserve">1/100 of a point. </w:t>
      </w:r>
      <w:r w:rsidR="00426787">
        <w:t>PSEA will continue to monitor districts’ implementation of the evaluation system to ensure results are valid, reliable, and fair.</w:t>
      </w:r>
      <w:r w:rsidR="00B26026">
        <w:t xml:space="preserve"> </w:t>
      </w:r>
    </w:p>
    <w:p w14:paraId="04FB7BA8" w14:textId="06602769" w:rsidR="00494A2C" w:rsidRPr="007B7AFD" w:rsidRDefault="00494A2C" w:rsidP="00494A2C">
      <w:pPr>
        <w:spacing w:after="0" w:line="240" w:lineRule="auto"/>
      </w:pPr>
    </w:p>
    <w:p w14:paraId="3EC395F4" w14:textId="53F32E3C" w:rsidR="00627578" w:rsidRPr="007B7AFD" w:rsidRDefault="00CD1C43" w:rsidP="00494A2C">
      <w:pPr>
        <w:spacing w:after="0" w:line="240" w:lineRule="auto"/>
      </w:pPr>
      <w:r w:rsidRPr="007B7AFD">
        <w:rPr>
          <w:b/>
          <w:i/>
        </w:rPr>
        <w:t>Deterr</w:t>
      </w:r>
      <w:r w:rsidR="00624642" w:rsidRPr="007B7AFD">
        <w:rPr>
          <w:b/>
          <w:i/>
        </w:rPr>
        <w:t>ing</w:t>
      </w:r>
      <w:r w:rsidRPr="007B7AFD">
        <w:rPr>
          <w:b/>
          <w:i/>
        </w:rPr>
        <w:t xml:space="preserve"> </w:t>
      </w:r>
      <w:r w:rsidR="00624642" w:rsidRPr="007B7AFD">
        <w:rPr>
          <w:b/>
          <w:i/>
        </w:rPr>
        <w:t>Educators from</w:t>
      </w:r>
      <w:r w:rsidRPr="007B7AFD">
        <w:rPr>
          <w:b/>
          <w:i/>
        </w:rPr>
        <w:t xml:space="preserve"> Seeking Positions Requiring </w:t>
      </w:r>
      <w:r w:rsidR="00494A2C" w:rsidRPr="007B7AFD">
        <w:rPr>
          <w:b/>
          <w:i/>
        </w:rPr>
        <w:t>Certain Certifications.</w:t>
      </w:r>
      <w:r w:rsidR="00494A2C" w:rsidRPr="007B7AFD">
        <w:t xml:space="preserve"> Because the n</w:t>
      </w:r>
      <w:r w:rsidRPr="007B7AFD">
        <w:t xml:space="preserve">ew </w:t>
      </w:r>
      <w:r w:rsidR="00CE6652" w:rsidRPr="007B7AFD">
        <w:t xml:space="preserve">law </w:t>
      </w:r>
      <w:r w:rsidRPr="007B7AFD">
        <w:t xml:space="preserve">furloughs educators based on evaluation results and seniority </w:t>
      </w:r>
      <w:r w:rsidRPr="00214A6A">
        <w:t>working within specific certification areas, educators may</w:t>
      </w:r>
      <w:r w:rsidR="00261AF8" w:rsidRPr="00214A6A">
        <w:t xml:space="preserve"> </w:t>
      </w:r>
      <w:r w:rsidRPr="00214A6A">
        <w:t>have greater protections if they are working in</w:t>
      </w:r>
      <w:r w:rsidRPr="007B7AFD">
        <w:t xml:space="preserve"> certification areas with mo</w:t>
      </w:r>
      <w:r w:rsidR="00CE6652" w:rsidRPr="007B7AFD">
        <w:t>re employee</w:t>
      </w:r>
      <w:r w:rsidRPr="007B7AFD">
        <w:t>s rather than fewer.</w:t>
      </w:r>
      <w:r w:rsidR="00ED7380" w:rsidRPr="007B7AFD">
        <w:t xml:space="preserve"> Likewise, </w:t>
      </w:r>
      <w:r w:rsidR="00317475" w:rsidRPr="007B7AFD">
        <w:t>pre-service teachers</w:t>
      </w:r>
      <w:r w:rsidR="00ED7380" w:rsidRPr="007B7AFD">
        <w:t xml:space="preserve"> in preparation programs may determine that it is strategically wiser to earn only one certificate in a widely used area.</w:t>
      </w:r>
      <w:r w:rsidR="0009435A">
        <w:t xml:space="preserve"> </w:t>
      </w:r>
      <w:r w:rsidR="00426787">
        <w:t>PSEA will monitor any potential impact of the new law on teacher assignments and certifications.</w:t>
      </w:r>
    </w:p>
    <w:p w14:paraId="705C74C6" w14:textId="7E87E953" w:rsidR="00261AF8" w:rsidRPr="007B7AFD" w:rsidRDefault="00261AF8" w:rsidP="00261AF8">
      <w:pPr>
        <w:spacing w:after="0" w:line="240" w:lineRule="auto"/>
      </w:pPr>
    </w:p>
    <w:p w14:paraId="25F8C68B" w14:textId="4E462A2F" w:rsidR="00BB184A" w:rsidRPr="007B7AFD" w:rsidRDefault="00A2215C" w:rsidP="00261AF8">
      <w:pPr>
        <w:spacing w:after="0" w:line="240" w:lineRule="auto"/>
      </w:pPr>
      <w:r w:rsidRPr="007B7AFD">
        <w:rPr>
          <w:b/>
          <w:i/>
        </w:rPr>
        <w:t>Challenging</w:t>
      </w:r>
      <w:r w:rsidR="00261AF8" w:rsidRPr="007B7AFD">
        <w:rPr>
          <w:b/>
          <w:i/>
        </w:rPr>
        <w:t xml:space="preserve"> </w:t>
      </w:r>
      <w:r w:rsidR="00BB184A" w:rsidRPr="007B7AFD">
        <w:rPr>
          <w:b/>
          <w:i/>
        </w:rPr>
        <w:t>Confidentiality of Employee Ratings.</w:t>
      </w:r>
      <w:r w:rsidR="00BB184A" w:rsidRPr="007B7AFD">
        <w:t xml:space="preserve"> Employers are required to maintain confidentiality of employee rating results; this requirement is not negated in the new furlough law.</w:t>
      </w:r>
      <w:r w:rsidR="00B26026">
        <w:t xml:space="preserve"> While local association representatives must be privy to evaluation information in the event of furloughs, these leaders should take necessary precautions to maintain confidentiality.</w:t>
      </w:r>
      <w:r w:rsidR="00BB184A" w:rsidRPr="007B7AFD">
        <w:t xml:space="preserve"> However, </w:t>
      </w:r>
      <w:r w:rsidR="00A36332" w:rsidRPr="007B7AFD">
        <w:t xml:space="preserve">since </w:t>
      </w:r>
      <w:r w:rsidR="00BB184A" w:rsidRPr="007B7AFD">
        <w:t>employees facing furlough will be sorted into categories based upon evaluation results, an employee’s placement into a specific category may become</w:t>
      </w:r>
      <w:r w:rsidR="00DD4616">
        <w:t xml:space="preserve"> known to others without the consent of the employee. </w:t>
      </w:r>
      <w:r w:rsidR="00BB184A" w:rsidRPr="007B7AFD">
        <w:t xml:space="preserve"> PSEA will continue to defend </w:t>
      </w:r>
      <w:r w:rsidR="00BB184A" w:rsidRPr="007B7AFD">
        <w:t>an employee’s right to confidentiality in the evaluation system.</w:t>
      </w:r>
    </w:p>
    <w:p w14:paraId="53E58AA7" w14:textId="7AB93018" w:rsidR="00261AF8" w:rsidRDefault="00261AF8" w:rsidP="00261AF8">
      <w:pPr>
        <w:spacing w:after="0" w:line="240" w:lineRule="auto"/>
      </w:pPr>
    </w:p>
    <w:p w14:paraId="2804FF70" w14:textId="57AD1730" w:rsidR="00384852" w:rsidRDefault="00494A2C" w:rsidP="00A2215C">
      <w:pPr>
        <w:spacing w:after="0" w:line="240" w:lineRule="auto"/>
        <w:rPr>
          <w:b/>
          <w:sz w:val="28"/>
        </w:rPr>
      </w:pPr>
      <w:r w:rsidRPr="007B7AFD">
        <w:rPr>
          <w:b/>
          <w:sz w:val="28"/>
        </w:rPr>
        <w:t>Conclusion</w:t>
      </w:r>
    </w:p>
    <w:p w14:paraId="62C82C33" w14:textId="77777777" w:rsidR="00494A2C" w:rsidRPr="007B7AFD" w:rsidRDefault="00263053">
      <w:pPr>
        <w:spacing w:after="0" w:line="240" w:lineRule="auto"/>
      </w:pPr>
      <w:r w:rsidRPr="007B7AFD">
        <w:t>The Association will continue to work with</w:t>
      </w:r>
      <w:r w:rsidR="00313BC0" w:rsidRPr="007B7AFD">
        <w:t xml:space="preserve"> its members and with</w:t>
      </w:r>
      <w:r w:rsidRPr="007B7AFD">
        <w:t xml:space="preserve"> policymakers during implementation </w:t>
      </w:r>
      <w:r w:rsidR="00DA35A2" w:rsidRPr="007B7AFD">
        <w:t xml:space="preserve">to ensure that protections defined in statute are fully implemented. In addition, PSEA will continue to </w:t>
      </w:r>
      <w:r w:rsidRPr="007B7AFD">
        <w:lastRenderedPageBreak/>
        <w:t>defend member</w:t>
      </w:r>
      <w:r w:rsidR="00DA35A2" w:rsidRPr="007B7AFD">
        <w:t>s</w:t>
      </w:r>
      <w:r w:rsidRPr="007B7AFD">
        <w:t xml:space="preserve"> </w:t>
      </w:r>
      <w:r w:rsidR="00DA35A2" w:rsidRPr="007B7AFD">
        <w:t>against targeting for furlough, to ensure the evaluation system is administered in ways that reduce bias</w:t>
      </w:r>
      <w:r w:rsidR="00966FAF" w:rsidRPr="007B7AFD">
        <w:t xml:space="preserve"> and increase validity, and to protect member confidentiality in the evaluation system</w:t>
      </w:r>
      <w:r w:rsidR="00BB184A" w:rsidRPr="007B7AFD">
        <w:t xml:space="preserve">. </w:t>
      </w:r>
    </w:p>
    <w:p w14:paraId="3454896E" w14:textId="77777777" w:rsidR="00426787" w:rsidRDefault="00426787" w:rsidP="00384852">
      <w:pPr>
        <w:spacing w:after="0" w:line="240" w:lineRule="auto"/>
        <w:rPr>
          <w:b/>
          <w:sz w:val="28"/>
        </w:rPr>
      </w:pPr>
    </w:p>
    <w:p w14:paraId="2A28FFD4" w14:textId="77777777" w:rsidR="00384852" w:rsidRPr="00426787" w:rsidRDefault="00CD1C43" w:rsidP="00384852">
      <w:pPr>
        <w:spacing w:after="0" w:line="240" w:lineRule="auto"/>
        <w:rPr>
          <w:b/>
          <w:sz w:val="28"/>
        </w:rPr>
      </w:pPr>
      <w:r w:rsidRPr="00426787">
        <w:rPr>
          <w:b/>
          <w:sz w:val="28"/>
        </w:rPr>
        <w:t>For More Infor</w:t>
      </w:r>
      <w:r w:rsidR="00384852" w:rsidRPr="00426787">
        <w:rPr>
          <w:b/>
          <w:sz w:val="28"/>
        </w:rPr>
        <w:t>m</w:t>
      </w:r>
      <w:r w:rsidRPr="00426787">
        <w:rPr>
          <w:b/>
          <w:sz w:val="28"/>
        </w:rPr>
        <w:t>ati</w:t>
      </w:r>
      <w:r w:rsidR="00384852" w:rsidRPr="00426787">
        <w:rPr>
          <w:b/>
          <w:sz w:val="28"/>
        </w:rPr>
        <w:t>on</w:t>
      </w:r>
    </w:p>
    <w:p w14:paraId="01EB2AB5" w14:textId="77777777" w:rsidR="00494A2C" w:rsidRPr="007B7AFD" w:rsidRDefault="00384852" w:rsidP="00384852">
      <w:pPr>
        <w:spacing w:after="0" w:line="240" w:lineRule="auto"/>
      </w:pPr>
      <w:r w:rsidRPr="007B7AFD">
        <w:t xml:space="preserve">Contact Brad Hull, Ph.D., in PSEA’s Education Services Department, </w:t>
      </w:r>
      <w:hyperlink r:id="rId10" w:history="1">
        <w:r w:rsidRPr="007B7AFD">
          <w:rPr>
            <w:rStyle w:val="Hyperlink"/>
          </w:rPr>
          <w:t>bhull@psea.org</w:t>
        </w:r>
      </w:hyperlink>
      <w:r w:rsidRPr="007B7AFD">
        <w:t xml:space="preserve">; 717-255-7108. </w:t>
      </w:r>
    </w:p>
    <w:sectPr w:rsidR="00494A2C" w:rsidRPr="007B7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C4428" w14:textId="77777777" w:rsidR="001335FD" w:rsidRDefault="001335FD" w:rsidP="00157307">
      <w:pPr>
        <w:spacing w:after="0" w:line="240" w:lineRule="auto"/>
      </w:pPr>
      <w:r>
        <w:separator/>
      </w:r>
    </w:p>
  </w:endnote>
  <w:endnote w:type="continuationSeparator" w:id="0">
    <w:p w14:paraId="1A7D7B42" w14:textId="77777777" w:rsidR="001335FD" w:rsidRDefault="001335FD" w:rsidP="0015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93300" w14:textId="77777777" w:rsidR="001335FD" w:rsidRDefault="001335FD" w:rsidP="00157307">
      <w:pPr>
        <w:spacing w:after="0" w:line="240" w:lineRule="auto"/>
      </w:pPr>
      <w:r>
        <w:separator/>
      </w:r>
    </w:p>
  </w:footnote>
  <w:footnote w:type="continuationSeparator" w:id="0">
    <w:p w14:paraId="79F64752" w14:textId="77777777" w:rsidR="001335FD" w:rsidRDefault="001335FD" w:rsidP="00157307">
      <w:pPr>
        <w:spacing w:after="0" w:line="240" w:lineRule="auto"/>
      </w:pPr>
      <w:r>
        <w:continuationSeparator/>
      </w:r>
    </w:p>
  </w:footnote>
  <w:footnote w:id="1">
    <w:p w14:paraId="7258C41E" w14:textId="77777777" w:rsidR="00890A3E" w:rsidRDefault="00890A3E">
      <w:pPr>
        <w:pStyle w:val="FootnoteText"/>
      </w:pPr>
      <w:r>
        <w:rPr>
          <w:rStyle w:val="FootnoteReference"/>
        </w:rPr>
        <w:footnoteRef/>
      </w:r>
      <w:r>
        <w:t xml:space="preserve"> Because furlough decisions are usually made near the end of the school year, an employee’s evaluation for the current year will not yet be issued. In other words, if an employee is furloughed at the end of the 2017-18 school year, the relevant evaluations will be those for the 2015-16 and 2016-17 school years.  </w:t>
      </w:r>
    </w:p>
  </w:footnote>
  <w:footnote w:id="2">
    <w:p w14:paraId="5268967A" w14:textId="77777777" w:rsidR="004B73AA" w:rsidRDefault="004B73AA" w:rsidP="004B73AA">
      <w:pPr>
        <w:pStyle w:val="FootnoteText"/>
      </w:pPr>
      <w:r>
        <w:rPr>
          <w:rStyle w:val="FootnoteReference"/>
        </w:rPr>
        <w:footnoteRef/>
      </w:r>
      <w:r>
        <w:t xml:space="preserve"> School districts must approve an annual budget by June 30 each year. Consequently, a school district is required to adopt a resolution and hold a public meeting before the end of April if it plans to furlough staff.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155F1"/>
    <w:multiLevelType w:val="hybridMultilevel"/>
    <w:tmpl w:val="9AB8FF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506CC4"/>
    <w:multiLevelType w:val="hybridMultilevel"/>
    <w:tmpl w:val="7E389AA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71"/>
    <w:rsid w:val="00060900"/>
    <w:rsid w:val="0009435A"/>
    <w:rsid w:val="00095777"/>
    <w:rsid w:val="000C0D3D"/>
    <w:rsid w:val="00105F0B"/>
    <w:rsid w:val="001335FD"/>
    <w:rsid w:val="001518F0"/>
    <w:rsid w:val="00157307"/>
    <w:rsid w:val="00164BBB"/>
    <w:rsid w:val="001971A2"/>
    <w:rsid w:val="001A3014"/>
    <w:rsid w:val="001D26A4"/>
    <w:rsid w:val="001F2FEB"/>
    <w:rsid w:val="00214A6A"/>
    <w:rsid w:val="00235E59"/>
    <w:rsid w:val="0024619E"/>
    <w:rsid w:val="00261AF8"/>
    <w:rsid w:val="00263053"/>
    <w:rsid w:val="002708C0"/>
    <w:rsid w:val="00273705"/>
    <w:rsid w:val="00276199"/>
    <w:rsid w:val="002A12BE"/>
    <w:rsid w:val="002D5134"/>
    <w:rsid w:val="002E5A54"/>
    <w:rsid w:val="00307811"/>
    <w:rsid w:val="00313BC0"/>
    <w:rsid w:val="00317475"/>
    <w:rsid w:val="00367344"/>
    <w:rsid w:val="0037041C"/>
    <w:rsid w:val="00384852"/>
    <w:rsid w:val="00385B0F"/>
    <w:rsid w:val="00387764"/>
    <w:rsid w:val="00393614"/>
    <w:rsid w:val="003B0D1D"/>
    <w:rsid w:val="004018DD"/>
    <w:rsid w:val="00417D7C"/>
    <w:rsid w:val="00423A63"/>
    <w:rsid w:val="00426787"/>
    <w:rsid w:val="0043417C"/>
    <w:rsid w:val="00494A2C"/>
    <w:rsid w:val="004B73AA"/>
    <w:rsid w:val="004D2A04"/>
    <w:rsid w:val="004D3838"/>
    <w:rsid w:val="004E0841"/>
    <w:rsid w:val="004F2ECD"/>
    <w:rsid w:val="00501033"/>
    <w:rsid w:val="0052550B"/>
    <w:rsid w:val="00527C4A"/>
    <w:rsid w:val="005333E6"/>
    <w:rsid w:val="00535F43"/>
    <w:rsid w:val="00556CAC"/>
    <w:rsid w:val="0058496C"/>
    <w:rsid w:val="005C046C"/>
    <w:rsid w:val="005C3056"/>
    <w:rsid w:val="005D1493"/>
    <w:rsid w:val="005F4DDC"/>
    <w:rsid w:val="00624642"/>
    <w:rsid w:val="00627578"/>
    <w:rsid w:val="00634110"/>
    <w:rsid w:val="0063621D"/>
    <w:rsid w:val="00640CF4"/>
    <w:rsid w:val="006516F7"/>
    <w:rsid w:val="00661C4F"/>
    <w:rsid w:val="0066557C"/>
    <w:rsid w:val="00693892"/>
    <w:rsid w:val="006A1982"/>
    <w:rsid w:val="006A3452"/>
    <w:rsid w:val="006C079F"/>
    <w:rsid w:val="006E2E95"/>
    <w:rsid w:val="00700607"/>
    <w:rsid w:val="007147DA"/>
    <w:rsid w:val="00715B55"/>
    <w:rsid w:val="00737DCA"/>
    <w:rsid w:val="00782964"/>
    <w:rsid w:val="007B7AFD"/>
    <w:rsid w:val="007D5F5A"/>
    <w:rsid w:val="007E7673"/>
    <w:rsid w:val="008203C7"/>
    <w:rsid w:val="0082156D"/>
    <w:rsid w:val="00825960"/>
    <w:rsid w:val="00836AA8"/>
    <w:rsid w:val="00890A3E"/>
    <w:rsid w:val="008A359A"/>
    <w:rsid w:val="008A513F"/>
    <w:rsid w:val="008A7670"/>
    <w:rsid w:val="008C1194"/>
    <w:rsid w:val="008D2CBD"/>
    <w:rsid w:val="008D48AA"/>
    <w:rsid w:val="008E2153"/>
    <w:rsid w:val="008E294F"/>
    <w:rsid w:val="008E3B06"/>
    <w:rsid w:val="008F501A"/>
    <w:rsid w:val="00906EA6"/>
    <w:rsid w:val="009103D4"/>
    <w:rsid w:val="009133B6"/>
    <w:rsid w:val="00942816"/>
    <w:rsid w:val="00944EBF"/>
    <w:rsid w:val="00966FAF"/>
    <w:rsid w:val="00971E52"/>
    <w:rsid w:val="009A11D8"/>
    <w:rsid w:val="009C4345"/>
    <w:rsid w:val="00A17000"/>
    <w:rsid w:val="00A2215C"/>
    <w:rsid w:val="00A36332"/>
    <w:rsid w:val="00A37F4B"/>
    <w:rsid w:val="00A54573"/>
    <w:rsid w:val="00A55A6B"/>
    <w:rsid w:val="00A80D00"/>
    <w:rsid w:val="00A91FEC"/>
    <w:rsid w:val="00AD06DF"/>
    <w:rsid w:val="00B178CF"/>
    <w:rsid w:val="00B26026"/>
    <w:rsid w:val="00B648EB"/>
    <w:rsid w:val="00B80D18"/>
    <w:rsid w:val="00B82A84"/>
    <w:rsid w:val="00BA795A"/>
    <w:rsid w:val="00BB184A"/>
    <w:rsid w:val="00BC6B85"/>
    <w:rsid w:val="00BD7179"/>
    <w:rsid w:val="00BF2497"/>
    <w:rsid w:val="00C4070D"/>
    <w:rsid w:val="00C41287"/>
    <w:rsid w:val="00C45011"/>
    <w:rsid w:val="00C51662"/>
    <w:rsid w:val="00C72100"/>
    <w:rsid w:val="00C84C9C"/>
    <w:rsid w:val="00CB521E"/>
    <w:rsid w:val="00CC75D0"/>
    <w:rsid w:val="00CD1C43"/>
    <w:rsid w:val="00CE57B6"/>
    <w:rsid w:val="00CE6652"/>
    <w:rsid w:val="00CF7619"/>
    <w:rsid w:val="00D55BBB"/>
    <w:rsid w:val="00D60058"/>
    <w:rsid w:val="00D84436"/>
    <w:rsid w:val="00DA35A2"/>
    <w:rsid w:val="00DD4616"/>
    <w:rsid w:val="00DE7794"/>
    <w:rsid w:val="00DF719A"/>
    <w:rsid w:val="00E04907"/>
    <w:rsid w:val="00E11723"/>
    <w:rsid w:val="00E26655"/>
    <w:rsid w:val="00E27071"/>
    <w:rsid w:val="00E623C3"/>
    <w:rsid w:val="00ED7380"/>
    <w:rsid w:val="00EE084D"/>
    <w:rsid w:val="00F01F91"/>
    <w:rsid w:val="00F11AA5"/>
    <w:rsid w:val="00F2712E"/>
    <w:rsid w:val="00F3627E"/>
    <w:rsid w:val="00F426E9"/>
    <w:rsid w:val="00F6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1D37"/>
  <w15:docId w15:val="{6E1F1E70-54D0-4649-9A5E-24595237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7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7307"/>
    <w:rPr>
      <w:sz w:val="20"/>
      <w:szCs w:val="20"/>
    </w:rPr>
  </w:style>
  <w:style w:type="character" w:styleId="FootnoteReference">
    <w:name w:val="footnote reference"/>
    <w:basedOn w:val="DefaultParagraphFont"/>
    <w:uiPriority w:val="99"/>
    <w:semiHidden/>
    <w:unhideWhenUsed/>
    <w:rsid w:val="00157307"/>
    <w:rPr>
      <w:vertAlign w:val="superscript"/>
    </w:rPr>
  </w:style>
  <w:style w:type="paragraph" w:styleId="ListParagraph">
    <w:name w:val="List Paragraph"/>
    <w:basedOn w:val="Normal"/>
    <w:uiPriority w:val="34"/>
    <w:qFormat/>
    <w:rsid w:val="00157307"/>
    <w:pPr>
      <w:ind w:left="720"/>
      <w:contextualSpacing/>
    </w:pPr>
  </w:style>
  <w:style w:type="character" w:styleId="Hyperlink">
    <w:name w:val="Hyperlink"/>
    <w:basedOn w:val="DefaultParagraphFont"/>
    <w:uiPriority w:val="99"/>
    <w:unhideWhenUsed/>
    <w:rsid w:val="00384852"/>
    <w:rPr>
      <w:color w:val="0563C1" w:themeColor="hyperlink"/>
      <w:u w:val="single"/>
    </w:rPr>
  </w:style>
  <w:style w:type="character" w:customStyle="1" w:styleId="UnresolvedMention1">
    <w:name w:val="Unresolved Mention1"/>
    <w:basedOn w:val="DefaultParagraphFont"/>
    <w:uiPriority w:val="99"/>
    <w:semiHidden/>
    <w:unhideWhenUsed/>
    <w:rsid w:val="00384852"/>
    <w:rPr>
      <w:color w:val="808080"/>
      <w:shd w:val="clear" w:color="auto" w:fill="E6E6E6"/>
    </w:rPr>
  </w:style>
  <w:style w:type="character" w:styleId="CommentReference">
    <w:name w:val="annotation reference"/>
    <w:basedOn w:val="DefaultParagraphFont"/>
    <w:uiPriority w:val="99"/>
    <w:semiHidden/>
    <w:unhideWhenUsed/>
    <w:rsid w:val="00F11AA5"/>
    <w:rPr>
      <w:sz w:val="16"/>
      <w:szCs w:val="16"/>
    </w:rPr>
  </w:style>
  <w:style w:type="paragraph" w:styleId="CommentText">
    <w:name w:val="annotation text"/>
    <w:basedOn w:val="Normal"/>
    <w:link w:val="CommentTextChar"/>
    <w:uiPriority w:val="99"/>
    <w:semiHidden/>
    <w:unhideWhenUsed/>
    <w:rsid w:val="00F11AA5"/>
    <w:pPr>
      <w:spacing w:line="240" w:lineRule="auto"/>
    </w:pPr>
    <w:rPr>
      <w:sz w:val="20"/>
      <w:szCs w:val="20"/>
    </w:rPr>
  </w:style>
  <w:style w:type="character" w:customStyle="1" w:styleId="CommentTextChar">
    <w:name w:val="Comment Text Char"/>
    <w:basedOn w:val="DefaultParagraphFont"/>
    <w:link w:val="CommentText"/>
    <w:uiPriority w:val="99"/>
    <w:semiHidden/>
    <w:rsid w:val="00F11AA5"/>
    <w:rPr>
      <w:sz w:val="20"/>
      <w:szCs w:val="20"/>
    </w:rPr>
  </w:style>
  <w:style w:type="paragraph" w:styleId="CommentSubject">
    <w:name w:val="annotation subject"/>
    <w:basedOn w:val="CommentText"/>
    <w:next w:val="CommentText"/>
    <w:link w:val="CommentSubjectChar"/>
    <w:uiPriority w:val="99"/>
    <w:semiHidden/>
    <w:unhideWhenUsed/>
    <w:rsid w:val="00F11AA5"/>
    <w:rPr>
      <w:b/>
      <w:bCs/>
    </w:rPr>
  </w:style>
  <w:style w:type="character" w:customStyle="1" w:styleId="CommentSubjectChar">
    <w:name w:val="Comment Subject Char"/>
    <w:basedOn w:val="CommentTextChar"/>
    <w:link w:val="CommentSubject"/>
    <w:uiPriority w:val="99"/>
    <w:semiHidden/>
    <w:rsid w:val="00F11AA5"/>
    <w:rPr>
      <w:b/>
      <w:bCs/>
      <w:sz w:val="20"/>
      <w:szCs w:val="20"/>
    </w:rPr>
  </w:style>
  <w:style w:type="paragraph" w:styleId="BalloonText">
    <w:name w:val="Balloon Text"/>
    <w:basedOn w:val="Normal"/>
    <w:link w:val="BalloonTextChar"/>
    <w:uiPriority w:val="99"/>
    <w:semiHidden/>
    <w:unhideWhenUsed/>
    <w:rsid w:val="00F11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AA5"/>
    <w:rPr>
      <w:rFonts w:ascii="Segoe UI" w:hAnsi="Segoe UI" w:cs="Segoe UI"/>
      <w:sz w:val="18"/>
      <w:szCs w:val="18"/>
    </w:rPr>
  </w:style>
  <w:style w:type="paragraph" w:styleId="Revision">
    <w:name w:val="Revision"/>
    <w:hidden/>
    <w:uiPriority w:val="99"/>
    <w:semiHidden/>
    <w:rsid w:val="00DD4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8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hull@psea.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A0C4D-E03F-418F-8F12-1BEAD42D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Claycomb, Carla [PA]</dc:creator>
  <cp:keywords/>
  <dc:description/>
  <cp:lastModifiedBy>Hull, Bradley [PA]</cp:lastModifiedBy>
  <cp:revision>4</cp:revision>
  <cp:lastPrinted>2017-11-07T15:35:00Z</cp:lastPrinted>
  <dcterms:created xsi:type="dcterms:W3CDTF">2018-11-27T16:17:00Z</dcterms:created>
  <dcterms:modified xsi:type="dcterms:W3CDTF">2019-05-22T17:27:00Z</dcterms:modified>
</cp:coreProperties>
</file>